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6E374" w14:textId="77777777" w:rsidR="009A3A18" w:rsidRPr="005A2D58" w:rsidRDefault="009A3A18" w:rsidP="009A3A18">
      <w:pPr>
        <w:suppressAutoHyphens/>
        <w:spacing w:after="0" w:line="240" w:lineRule="auto"/>
        <w:jc w:val="center"/>
        <w:rPr>
          <w:rFonts w:asciiTheme="majorBidi" w:eastAsia="Times New Roman" w:hAnsiTheme="majorBidi" w:cstheme="majorBidi"/>
          <w:b/>
          <w:sz w:val="24"/>
          <w:szCs w:val="24"/>
          <w:lang w:eastAsia="zh-CN"/>
        </w:rPr>
      </w:pPr>
      <w:r w:rsidRPr="005A2D58">
        <w:rPr>
          <w:rFonts w:asciiTheme="majorBidi" w:eastAsia="Times New Roman" w:hAnsiTheme="majorBidi" w:cstheme="majorBidi"/>
          <w:b/>
          <w:sz w:val="24"/>
          <w:szCs w:val="24"/>
          <w:lang w:eastAsia="zh-CN"/>
        </w:rPr>
        <w:t>TECHNINĖ SPECIFIKACIJA</w:t>
      </w:r>
    </w:p>
    <w:p w14:paraId="1970A93E" w14:textId="77777777" w:rsidR="009A3A18" w:rsidRPr="005A2D58" w:rsidRDefault="009A3A18" w:rsidP="009A3A18">
      <w:pPr>
        <w:suppressAutoHyphens/>
        <w:spacing w:after="0" w:line="240" w:lineRule="auto"/>
        <w:jc w:val="center"/>
        <w:rPr>
          <w:rFonts w:asciiTheme="majorBidi" w:eastAsia="Times New Roman" w:hAnsiTheme="majorBidi" w:cstheme="majorBidi"/>
          <w:b/>
          <w:sz w:val="24"/>
          <w:szCs w:val="24"/>
          <w:lang w:eastAsia="zh-CN"/>
        </w:rPr>
      </w:pPr>
    </w:p>
    <w:p w14:paraId="121969AC" w14:textId="77777777" w:rsidR="009A3A18" w:rsidRPr="005A2D58" w:rsidRDefault="009A3A18" w:rsidP="009A3A18">
      <w:pPr>
        <w:numPr>
          <w:ilvl w:val="0"/>
          <w:numId w:val="1"/>
        </w:numPr>
        <w:tabs>
          <w:tab w:val="left" w:pos="142"/>
        </w:tabs>
        <w:suppressAutoHyphens/>
        <w:spacing w:after="0" w:line="240" w:lineRule="auto"/>
        <w:ind w:left="426"/>
        <w:contextualSpacing/>
        <w:jc w:val="center"/>
        <w:rPr>
          <w:rFonts w:asciiTheme="majorBidi" w:eastAsia="Times New Roman" w:hAnsiTheme="majorBidi" w:cstheme="majorBidi"/>
          <w:b/>
          <w:sz w:val="24"/>
          <w:szCs w:val="24"/>
          <w:lang w:eastAsia="zh-CN"/>
        </w:rPr>
      </w:pPr>
      <w:r w:rsidRPr="005A2D58">
        <w:rPr>
          <w:rFonts w:asciiTheme="majorBidi" w:eastAsia="Times New Roman" w:hAnsiTheme="majorBidi" w:cstheme="majorBidi"/>
          <w:b/>
          <w:sz w:val="24"/>
          <w:szCs w:val="24"/>
          <w:lang w:eastAsia="zh-CN"/>
        </w:rPr>
        <w:t>BENDROSIOS NUOSTATOS</w:t>
      </w:r>
    </w:p>
    <w:p w14:paraId="73F79D29" w14:textId="77777777" w:rsidR="009A3A18" w:rsidRPr="005A2D58" w:rsidRDefault="009A3A18" w:rsidP="009A3A18">
      <w:pPr>
        <w:suppressAutoHyphens/>
        <w:spacing w:after="0" w:line="240" w:lineRule="auto"/>
        <w:jc w:val="both"/>
        <w:rPr>
          <w:rFonts w:asciiTheme="majorBidi" w:eastAsia="Times New Roman" w:hAnsiTheme="majorBidi" w:cstheme="majorBidi"/>
          <w:b/>
          <w:sz w:val="24"/>
          <w:szCs w:val="24"/>
          <w:lang w:eastAsia="zh-CN"/>
        </w:rPr>
      </w:pPr>
    </w:p>
    <w:p w14:paraId="7D551824" w14:textId="77777777" w:rsidR="009A3A18" w:rsidRPr="005A2D58" w:rsidRDefault="009A3A18" w:rsidP="009A3A18">
      <w:pPr>
        <w:numPr>
          <w:ilvl w:val="0"/>
          <w:numId w:val="2"/>
        </w:numPr>
        <w:tabs>
          <w:tab w:val="left" w:pos="284"/>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b/>
          <w:sz w:val="24"/>
          <w:szCs w:val="24"/>
          <w:lang w:eastAsia="zh-CN"/>
        </w:rPr>
        <w:t xml:space="preserve">Pirkimo objektas – </w:t>
      </w:r>
      <w:r w:rsidRPr="005A2D58">
        <w:rPr>
          <w:rFonts w:asciiTheme="majorBidi" w:eastAsia="Times New Roman" w:hAnsiTheme="majorBidi" w:cstheme="majorBidi"/>
          <w:sz w:val="24"/>
          <w:szCs w:val="24"/>
          <w:lang w:eastAsia="zh-CN"/>
        </w:rPr>
        <w:t>Klaipėdos universiteto pastatai, statiniai ir patalpos kilnojamas turtas. Draudimo apsauga galioja ir tiems objektams, kurie nėra Draudėjo nuosavybė, bet Draudėjas už juos atsako pagal panaudos, nuomos, išperkamosios nuomos ar kitas sutartis.</w:t>
      </w:r>
    </w:p>
    <w:p w14:paraId="448C0CCC" w14:textId="77777777" w:rsidR="009A3A18" w:rsidRPr="005A2D58" w:rsidRDefault="009A3A18" w:rsidP="009A3A18">
      <w:pPr>
        <w:numPr>
          <w:ilvl w:val="0"/>
          <w:numId w:val="2"/>
        </w:numPr>
        <w:tabs>
          <w:tab w:val="left" w:pos="284"/>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b/>
          <w:sz w:val="24"/>
          <w:szCs w:val="24"/>
          <w:lang w:eastAsia="zh-CN"/>
        </w:rPr>
        <w:t>Paslaugų pirkėjas (Draudėjas) –</w:t>
      </w:r>
      <w:r w:rsidRPr="005A2D58">
        <w:rPr>
          <w:rFonts w:asciiTheme="majorBidi" w:eastAsia="Times New Roman" w:hAnsiTheme="majorBidi" w:cstheme="majorBidi"/>
          <w:sz w:val="24"/>
          <w:szCs w:val="24"/>
          <w:lang w:eastAsia="zh-CN"/>
        </w:rPr>
        <w:t xml:space="preserve"> Klaipėdos universitetas (įmonės kodas: 211951150) H. Manto g. 84, LT-92294 Klaipėda.</w:t>
      </w:r>
    </w:p>
    <w:p w14:paraId="4BD3C15B" w14:textId="77777777" w:rsidR="009A3A18" w:rsidRPr="005A2D58" w:rsidRDefault="009A3A18" w:rsidP="009A3A18">
      <w:pPr>
        <w:numPr>
          <w:ilvl w:val="0"/>
          <w:numId w:val="2"/>
        </w:numPr>
        <w:tabs>
          <w:tab w:val="left" w:pos="284"/>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b/>
          <w:sz w:val="24"/>
          <w:szCs w:val="24"/>
          <w:lang w:eastAsia="zh-CN"/>
        </w:rPr>
        <w:t>Draudikas</w:t>
      </w:r>
      <w:r w:rsidRPr="005A2D58">
        <w:rPr>
          <w:rFonts w:asciiTheme="majorBidi" w:eastAsia="Times New Roman" w:hAnsiTheme="majorBidi" w:cstheme="majorBidi"/>
          <w:sz w:val="24"/>
          <w:szCs w:val="24"/>
          <w:lang w:eastAsia="zh-CN"/>
        </w:rPr>
        <w:t xml:space="preserve"> – draudimo bendrovė, sudariusi su Draudėju draudimo paslaugų sutartį pagal šios Techninės specifikacijos ir konkurso sąlygas.</w:t>
      </w:r>
    </w:p>
    <w:p w14:paraId="15AD9255" w14:textId="77777777" w:rsidR="009A3A18" w:rsidRPr="005A2D58" w:rsidRDefault="009A3A18" w:rsidP="009A3A18">
      <w:pPr>
        <w:numPr>
          <w:ilvl w:val="0"/>
          <w:numId w:val="2"/>
        </w:numPr>
        <w:tabs>
          <w:tab w:val="left" w:pos="284"/>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b/>
          <w:sz w:val="24"/>
          <w:szCs w:val="24"/>
          <w:lang w:eastAsia="zh-CN"/>
        </w:rPr>
        <w:t>Naudos gavėjas</w:t>
      </w:r>
      <w:r w:rsidRPr="005A2D58">
        <w:rPr>
          <w:rFonts w:asciiTheme="majorBidi" w:eastAsia="Times New Roman" w:hAnsiTheme="majorBidi" w:cstheme="majorBidi"/>
          <w:sz w:val="24"/>
          <w:szCs w:val="24"/>
          <w:lang w:eastAsia="zh-CN"/>
        </w:rPr>
        <w:t xml:space="preserve"> – turto savininkas.</w:t>
      </w:r>
    </w:p>
    <w:p w14:paraId="3ED38B4A" w14:textId="77777777" w:rsidR="009A3A18" w:rsidRPr="005A2D58" w:rsidRDefault="009A3A18" w:rsidP="009A3A18">
      <w:pPr>
        <w:numPr>
          <w:ilvl w:val="0"/>
          <w:numId w:val="2"/>
        </w:numPr>
        <w:tabs>
          <w:tab w:val="left" w:pos="284"/>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b/>
          <w:sz w:val="24"/>
          <w:szCs w:val="24"/>
          <w:lang w:eastAsia="zh-CN"/>
        </w:rPr>
        <w:t xml:space="preserve">Mokėtojas </w:t>
      </w:r>
      <w:r w:rsidRPr="005A2D58">
        <w:rPr>
          <w:rFonts w:asciiTheme="majorBidi" w:eastAsia="Times New Roman" w:hAnsiTheme="majorBidi" w:cstheme="majorBidi"/>
          <w:sz w:val="24"/>
          <w:szCs w:val="24"/>
          <w:lang w:eastAsia="zh-CN"/>
        </w:rPr>
        <w:t>- Klaipėdos universitetas (įmonės kodas: 211951150) H. Manto g. 84, LT-92294 Klaipėda.</w:t>
      </w:r>
    </w:p>
    <w:p w14:paraId="54936980" w14:textId="77777777" w:rsidR="009A3A18" w:rsidRPr="005A2D58" w:rsidRDefault="009A3A18" w:rsidP="009A3A18">
      <w:pPr>
        <w:numPr>
          <w:ilvl w:val="0"/>
          <w:numId w:val="2"/>
        </w:numPr>
        <w:tabs>
          <w:tab w:val="left" w:pos="284"/>
        </w:tabs>
        <w:suppressAutoHyphens/>
        <w:spacing w:after="0" w:line="240" w:lineRule="auto"/>
        <w:ind w:left="0" w:firstLine="567"/>
        <w:contextualSpacing/>
        <w:jc w:val="both"/>
        <w:rPr>
          <w:rFonts w:asciiTheme="majorBidi" w:eastAsia="Times New Roman" w:hAnsiTheme="majorBidi" w:cstheme="majorBidi"/>
          <w:sz w:val="24"/>
          <w:szCs w:val="20"/>
          <w:lang w:eastAsia="zh-CN"/>
        </w:rPr>
      </w:pPr>
      <w:r w:rsidRPr="005A2D58">
        <w:rPr>
          <w:rFonts w:asciiTheme="majorBidi" w:eastAsia="Times New Roman" w:hAnsiTheme="majorBidi" w:cstheme="majorBidi"/>
          <w:sz w:val="24"/>
          <w:szCs w:val="20"/>
          <w:lang w:eastAsia="zh-CN"/>
        </w:rPr>
        <w:t xml:space="preserve">Draudimo paslaugos teikiamos 12 mėnesių, nuo 2026 m. rugsėjo 15 dienos </w:t>
      </w:r>
      <w:r w:rsidRPr="005A2D58">
        <w:rPr>
          <w:rFonts w:ascii="Times New Roman" w:eastAsia="Times New Roman" w:hAnsi="Times New Roman" w:cs="Times New Roman"/>
          <w:sz w:val="24"/>
          <w:szCs w:val="20"/>
        </w:rPr>
        <w:t>iki 2027 m. rugsėjo 14 dienos.</w:t>
      </w:r>
    </w:p>
    <w:p w14:paraId="3643489D" w14:textId="77777777" w:rsidR="009A3A18" w:rsidRPr="005A2D58" w:rsidRDefault="009A3A18" w:rsidP="009A3A18">
      <w:pPr>
        <w:numPr>
          <w:ilvl w:val="0"/>
          <w:numId w:val="2"/>
        </w:numPr>
        <w:tabs>
          <w:tab w:val="left" w:pos="284"/>
          <w:tab w:val="left" w:pos="426"/>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Calibri" w:hAnsiTheme="majorBidi" w:cstheme="majorBidi"/>
          <w:sz w:val="24"/>
          <w:szCs w:val="24"/>
          <w:lang w:eastAsia="zh-CN"/>
        </w:rPr>
        <w:t xml:space="preserve">Detalios informacijos apie priešgaisrinę ir turto apsaugą Draudėjas pateikti neturi galimybės. </w:t>
      </w:r>
    </w:p>
    <w:p w14:paraId="4E458534" w14:textId="77777777" w:rsidR="009A3A18" w:rsidRPr="005A2D58" w:rsidRDefault="009A3A18" w:rsidP="009A3A18">
      <w:pPr>
        <w:numPr>
          <w:ilvl w:val="0"/>
          <w:numId w:val="2"/>
        </w:numPr>
        <w:tabs>
          <w:tab w:val="left" w:pos="284"/>
          <w:tab w:val="left" w:pos="426"/>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sz w:val="24"/>
          <w:szCs w:val="24"/>
          <w:lang w:eastAsia="zh-CN"/>
        </w:rPr>
        <w:t>Sudaromas vienas draudimo polisas į kurį pagal poreikį, įforminant priedu / nauju polisu, gali būti įtraukiamas papildomas įstaigos turtas (draudimo įmoka paskaičiuojama proporcingai likusiam galioti metinio draudimo poliso laikotarpiui).</w:t>
      </w:r>
    </w:p>
    <w:p w14:paraId="5C13F162" w14:textId="77777777" w:rsidR="009A3A18" w:rsidRPr="005A2D58" w:rsidRDefault="009A3A18" w:rsidP="009A3A18">
      <w:pPr>
        <w:numPr>
          <w:ilvl w:val="0"/>
          <w:numId w:val="2"/>
        </w:numPr>
        <w:tabs>
          <w:tab w:val="left" w:pos="284"/>
          <w:tab w:val="left" w:pos="426"/>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sz w:val="24"/>
          <w:szCs w:val="24"/>
          <w:lang w:eastAsia="zh-CN"/>
        </w:rPr>
        <w:t>Draudimo įmoka sumokama per 4 (keturis) kartus, pirmai draudimo įmokai nustatant 14 dienų atidėjimo terminą nuo draudimo sutarties įsigaliojimo datos. Papildoma draudimo įmoka už naujai įtraukiamą turtą priskaičiuojama prie artimiausio dalinio mokėjimo.</w:t>
      </w:r>
    </w:p>
    <w:p w14:paraId="0420201C" w14:textId="77777777" w:rsidR="009A3A18" w:rsidRPr="005A2D58" w:rsidRDefault="009A3A18" w:rsidP="009A3A18">
      <w:pPr>
        <w:numPr>
          <w:ilvl w:val="0"/>
          <w:numId w:val="2"/>
        </w:numPr>
        <w:tabs>
          <w:tab w:val="left" w:pos="284"/>
          <w:tab w:val="left" w:pos="426"/>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sz w:val="24"/>
          <w:szCs w:val="24"/>
          <w:lang w:eastAsia="zh-CN"/>
        </w:rPr>
        <w:t>Draudikas turi pateikti pasiūlymą pagal šioje techninėje specifikacijoje nustatytus reikalavimus ir sąlygas, netaikant papildomų apribojimų ar limitų.</w:t>
      </w:r>
    </w:p>
    <w:p w14:paraId="5F7C8E0A" w14:textId="77777777" w:rsidR="009A3A18" w:rsidRPr="005A2D58" w:rsidRDefault="009A3A18" w:rsidP="009A3A18">
      <w:pPr>
        <w:numPr>
          <w:ilvl w:val="0"/>
          <w:numId w:val="2"/>
        </w:numPr>
        <w:tabs>
          <w:tab w:val="left" w:pos="284"/>
          <w:tab w:val="left" w:pos="426"/>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sz w:val="24"/>
          <w:szCs w:val="24"/>
          <w:lang w:eastAsia="zh-CN"/>
        </w:rPr>
        <w:t>Šioje techninėje specifikacijoje neaptartos draudimo apsaugos sąlygos, nedraudžiamieji įvykiai, šalių teisės ir pareigos, nustatomos taip pat ir galiojančiose Draudiko standartinėse turto draudimo taisyklėse, kurios taps neatskiriama draudimo sutarties dalimi, tačiau tiek, kiek neprieštarauja šioje techninėje specifikacijoje nurodytoms sąlygoms.</w:t>
      </w:r>
    </w:p>
    <w:p w14:paraId="4861F47E" w14:textId="77777777" w:rsidR="009A3A18" w:rsidRPr="005A2D58" w:rsidRDefault="009A3A18" w:rsidP="009A3A18">
      <w:pPr>
        <w:numPr>
          <w:ilvl w:val="0"/>
          <w:numId w:val="2"/>
        </w:numPr>
        <w:tabs>
          <w:tab w:val="left" w:pos="284"/>
          <w:tab w:val="left" w:pos="426"/>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sz w:val="24"/>
          <w:szCs w:val="24"/>
          <w:lang w:eastAsia="zh-CN"/>
        </w:rPr>
        <w:t>Esant prieštaravimams tarp šioje techninėje specifikacijoje aptartų sąlygų ir Draudiko standartinių turto draudimo taisyklių, vadovaujamasi šiomis sąlygomis. Neaptartos taisyklių nuostatos, darančios įtaką esminėms šalių teisėms ir pareigoms, galioja su sąlyga, kad nekeičia šiose sąlygose išdėstytų nuostatų, nes priešingu atveju jos laikomos negaliojančiomis.</w:t>
      </w:r>
    </w:p>
    <w:p w14:paraId="70ED5DF6" w14:textId="77777777" w:rsidR="009A3A18" w:rsidRPr="005A2D58" w:rsidRDefault="009A3A18" w:rsidP="009A3A18">
      <w:pPr>
        <w:numPr>
          <w:ilvl w:val="0"/>
          <w:numId w:val="2"/>
        </w:numPr>
        <w:tabs>
          <w:tab w:val="left" w:pos="284"/>
          <w:tab w:val="left" w:pos="426"/>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sz w:val="24"/>
          <w:szCs w:val="24"/>
          <w:lang w:eastAsia="zh-CN"/>
        </w:rPr>
        <w:t>Rizikos cesija, UADBB (į. k. 126231645, Panerių g. 42, LT-03202 Vilnius) - draudimo tarpininkas (toliau tekste - Draudimo brokeris), kuris teikia tarpininkavimo sudarant draudimo sutartis paslaugas. Draudėjas sutinka, jog Draudimo brokeris gaus komisinį atlyginimą, numatytą bendradarbiavimo sutartyse su draudimo bendrovėmis, už suteiktas tarpininkavimo paslaugas tiesiogiai iš draudimo bendrovės, kurioje sudaroma (-os) Draudėjo draudimo sutartis (-ys). Draudėjas patvirtina, kad Draudimo brokeris negauna (negaus) atlygio iš Draudėjo už draudimo tarpininkavimo veiksmus.</w:t>
      </w:r>
    </w:p>
    <w:p w14:paraId="5D3A9E8D" w14:textId="77777777" w:rsidR="009A3A18" w:rsidRPr="005A2D58" w:rsidRDefault="009A3A18" w:rsidP="009A3A18">
      <w:pPr>
        <w:numPr>
          <w:ilvl w:val="0"/>
          <w:numId w:val="2"/>
        </w:numPr>
        <w:tabs>
          <w:tab w:val="left" w:pos="284"/>
          <w:tab w:val="left" w:pos="426"/>
        </w:tabs>
        <w:suppressAutoHyphens/>
        <w:spacing w:after="0" w:line="240" w:lineRule="auto"/>
        <w:ind w:left="0" w:firstLine="567"/>
        <w:contextualSpacing/>
        <w:jc w:val="both"/>
        <w:rPr>
          <w:rFonts w:asciiTheme="majorBidi" w:eastAsia="Times New Roman" w:hAnsiTheme="majorBidi" w:cstheme="majorBidi"/>
          <w:sz w:val="24"/>
          <w:szCs w:val="24"/>
          <w:lang w:eastAsia="zh-CN"/>
        </w:rPr>
      </w:pPr>
      <w:r w:rsidRPr="005A2D58">
        <w:rPr>
          <w:rFonts w:asciiTheme="majorBidi" w:eastAsia="Times New Roman" w:hAnsiTheme="majorBidi" w:cstheme="majorBidi"/>
          <w:sz w:val="24"/>
          <w:szCs w:val="24"/>
          <w:lang w:eastAsia="zh-CN"/>
        </w:rPr>
        <w:t xml:space="preserve">Informacija apie žalas: </w:t>
      </w:r>
    </w:p>
    <w:tbl>
      <w:tblPr>
        <w:tblW w:w="9918" w:type="dxa"/>
        <w:tblInd w:w="-431" w:type="dxa"/>
        <w:tblLook w:val="04A0" w:firstRow="1" w:lastRow="0" w:firstColumn="1" w:lastColumn="0" w:noHBand="0" w:noVBand="1"/>
      </w:tblPr>
      <w:tblGrid>
        <w:gridCol w:w="1413"/>
        <w:gridCol w:w="2410"/>
        <w:gridCol w:w="3260"/>
        <w:gridCol w:w="2835"/>
      </w:tblGrid>
      <w:tr w:rsidR="009A3A18" w:rsidRPr="008778F5" w14:paraId="45796B2E" w14:textId="77777777" w:rsidTr="00500BF8">
        <w:trPr>
          <w:trHeight w:val="23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CE16E8D" w14:textId="77777777" w:rsidR="009A3A18" w:rsidRPr="008778F5" w:rsidRDefault="009A3A18" w:rsidP="00500BF8">
            <w:pPr>
              <w:spacing w:after="0" w:line="240" w:lineRule="auto"/>
              <w:jc w:val="center"/>
              <w:rPr>
                <w:rFonts w:ascii="Times New Roman" w:eastAsia="Times New Roman" w:hAnsi="Times New Roman" w:cs="Times New Roman"/>
                <w:b/>
                <w:bCs/>
                <w:color w:val="000000"/>
                <w:sz w:val="24"/>
                <w:szCs w:val="24"/>
                <w:lang w:eastAsia="lt-LT"/>
              </w:rPr>
            </w:pPr>
            <w:r w:rsidRPr="008778F5">
              <w:rPr>
                <w:rFonts w:ascii="Times New Roman" w:eastAsia="Times New Roman" w:hAnsi="Times New Roman" w:cs="Times New Roman"/>
                <w:b/>
                <w:bCs/>
                <w:color w:val="000000"/>
                <w:sz w:val="24"/>
                <w:szCs w:val="24"/>
              </w:rPr>
              <w:t>Data</w:t>
            </w:r>
          </w:p>
        </w:tc>
        <w:tc>
          <w:tcPr>
            <w:tcW w:w="2410" w:type="dxa"/>
            <w:tcBorders>
              <w:top w:val="single" w:sz="4" w:space="0" w:color="auto"/>
              <w:left w:val="nil"/>
              <w:bottom w:val="single" w:sz="4" w:space="0" w:color="auto"/>
              <w:right w:val="single" w:sz="4" w:space="0" w:color="auto"/>
            </w:tcBorders>
            <w:noWrap/>
            <w:vAlign w:val="bottom"/>
            <w:hideMark/>
          </w:tcPr>
          <w:p w14:paraId="5F5ADD34" w14:textId="77777777" w:rsidR="009A3A18" w:rsidRPr="008778F5" w:rsidRDefault="009A3A18" w:rsidP="00500BF8">
            <w:pPr>
              <w:spacing w:after="0" w:line="240" w:lineRule="auto"/>
              <w:jc w:val="center"/>
              <w:rPr>
                <w:rFonts w:ascii="Times New Roman" w:eastAsia="Times New Roman" w:hAnsi="Times New Roman" w:cs="Times New Roman"/>
                <w:b/>
                <w:bCs/>
                <w:color w:val="000000"/>
                <w:sz w:val="24"/>
                <w:szCs w:val="24"/>
              </w:rPr>
            </w:pPr>
            <w:r w:rsidRPr="008778F5">
              <w:rPr>
                <w:rFonts w:ascii="Times New Roman" w:eastAsia="Times New Roman" w:hAnsi="Times New Roman" w:cs="Times New Roman"/>
                <w:b/>
                <w:bCs/>
                <w:color w:val="000000"/>
                <w:sz w:val="24"/>
                <w:szCs w:val="24"/>
              </w:rPr>
              <w:t>Išmokėta suma</w:t>
            </w:r>
          </w:p>
        </w:tc>
        <w:tc>
          <w:tcPr>
            <w:tcW w:w="3260" w:type="dxa"/>
            <w:tcBorders>
              <w:top w:val="single" w:sz="4" w:space="0" w:color="auto"/>
              <w:left w:val="nil"/>
              <w:bottom w:val="single" w:sz="4" w:space="0" w:color="auto"/>
              <w:right w:val="single" w:sz="4" w:space="0" w:color="auto"/>
            </w:tcBorders>
            <w:noWrap/>
            <w:vAlign w:val="bottom"/>
            <w:hideMark/>
          </w:tcPr>
          <w:p w14:paraId="3BE506C2" w14:textId="77777777" w:rsidR="009A3A18" w:rsidRPr="008778F5" w:rsidRDefault="009A3A18" w:rsidP="00500BF8">
            <w:pPr>
              <w:spacing w:after="0" w:line="240" w:lineRule="auto"/>
              <w:jc w:val="center"/>
              <w:rPr>
                <w:rFonts w:ascii="Times New Roman" w:eastAsia="Times New Roman" w:hAnsi="Times New Roman" w:cs="Times New Roman"/>
                <w:b/>
                <w:bCs/>
                <w:color w:val="000000"/>
                <w:sz w:val="24"/>
                <w:szCs w:val="24"/>
              </w:rPr>
            </w:pPr>
            <w:r w:rsidRPr="008778F5">
              <w:rPr>
                <w:rFonts w:ascii="Times New Roman" w:eastAsia="Times New Roman" w:hAnsi="Times New Roman" w:cs="Times New Roman"/>
                <w:b/>
                <w:bCs/>
                <w:color w:val="000000"/>
                <w:sz w:val="24"/>
                <w:szCs w:val="24"/>
              </w:rPr>
              <w:t>Priežastys</w:t>
            </w:r>
          </w:p>
        </w:tc>
        <w:tc>
          <w:tcPr>
            <w:tcW w:w="2835" w:type="dxa"/>
            <w:tcBorders>
              <w:top w:val="single" w:sz="4" w:space="0" w:color="auto"/>
              <w:left w:val="nil"/>
              <w:bottom w:val="single" w:sz="4" w:space="0" w:color="auto"/>
              <w:right w:val="single" w:sz="4" w:space="0" w:color="auto"/>
            </w:tcBorders>
            <w:noWrap/>
            <w:vAlign w:val="bottom"/>
            <w:hideMark/>
          </w:tcPr>
          <w:p w14:paraId="5C410569" w14:textId="77777777" w:rsidR="009A3A18" w:rsidRPr="008778F5" w:rsidRDefault="009A3A18" w:rsidP="00500BF8">
            <w:pPr>
              <w:spacing w:after="0" w:line="240" w:lineRule="auto"/>
              <w:jc w:val="center"/>
              <w:rPr>
                <w:rFonts w:ascii="Times New Roman" w:eastAsia="Times New Roman" w:hAnsi="Times New Roman" w:cs="Times New Roman"/>
                <w:b/>
                <w:bCs/>
                <w:color w:val="000000"/>
                <w:sz w:val="24"/>
                <w:szCs w:val="24"/>
              </w:rPr>
            </w:pPr>
            <w:r w:rsidRPr="008778F5">
              <w:rPr>
                <w:rFonts w:ascii="Times New Roman" w:eastAsia="Times New Roman" w:hAnsi="Times New Roman" w:cs="Times New Roman"/>
                <w:b/>
                <w:bCs/>
                <w:color w:val="000000"/>
                <w:sz w:val="24"/>
                <w:szCs w:val="24"/>
              </w:rPr>
              <w:t>Adresas</w:t>
            </w:r>
          </w:p>
        </w:tc>
      </w:tr>
      <w:tr w:rsidR="009A3A18" w:rsidRPr="008778F5" w14:paraId="2807FF24" w14:textId="77777777" w:rsidTr="00500BF8">
        <w:trPr>
          <w:trHeight w:val="233"/>
        </w:trPr>
        <w:tc>
          <w:tcPr>
            <w:tcW w:w="1413" w:type="dxa"/>
            <w:tcBorders>
              <w:top w:val="nil"/>
              <w:left w:val="single" w:sz="4" w:space="0" w:color="auto"/>
              <w:bottom w:val="single" w:sz="4" w:space="0" w:color="auto"/>
              <w:right w:val="single" w:sz="4" w:space="0" w:color="auto"/>
            </w:tcBorders>
            <w:noWrap/>
            <w:vAlign w:val="center"/>
            <w:hideMark/>
          </w:tcPr>
          <w:p w14:paraId="5E119BFA"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2020 02 24</w:t>
            </w:r>
          </w:p>
        </w:tc>
        <w:tc>
          <w:tcPr>
            <w:tcW w:w="2410" w:type="dxa"/>
            <w:tcBorders>
              <w:top w:val="nil"/>
              <w:left w:val="nil"/>
              <w:bottom w:val="single" w:sz="4" w:space="0" w:color="auto"/>
              <w:right w:val="single" w:sz="4" w:space="0" w:color="auto"/>
            </w:tcBorders>
            <w:noWrap/>
            <w:vAlign w:val="center"/>
            <w:hideMark/>
          </w:tcPr>
          <w:p w14:paraId="64999E9C"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259,50 EUR</w:t>
            </w:r>
          </w:p>
        </w:tc>
        <w:tc>
          <w:tcPr>
            <w:tcW w:w="3260" w:type="dxa"/>
            <w:tcBorders>
              <w:top w:val="nil"/>
              <w:left w:val="nil"/>
              <w:bottom w:val="single" w:sz="4" w:space="0" w:color="auto"/>
              <w:right w:val="single" w:sz="4" w:space="0" w:color="auto"/>
            </w:tcBorders>
            <w:noWrap/>
            <w:vAlign w:val="center"/>
            <w:hideMark/>
          </w:tcPr>
          <w:p w14:paraId="7466A9E0"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Gaisro aptikimo signalizacijos gedimas</w:t>
            </w:r>
          </w:p>
        </w:tc>
        <w:tc>
          <w:tcPr>
            <w:tcW w:w="2835" w:type="dxa"/>
            <w:tcBorders>
              <w:top w:val="nil"/>
              <w:left w:val="nil"/>
              <w:bottom w:val="single" w:sz="4" w:space="0" w:color="auto"/>
              <w:right w:val="single" w:sz="4" w:space="0" w:color="auto"/>
            </w:tcBorders>
            <w:noWrap/>
            <w:vAlign w:val="center"/>
            <w:hideMark/>
          </w:tcPr>
          <w:p w14:paraId="218FE319"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Smiltynės 1</w:t>
            </w:r>
          </w:p>
        </w:tc>
      </w:tr>
      <w:tr w:rsidR="009A3A18" w:rsidRPr="008778F5" w14:paraId="3D717772" w14:textId="77777777" w:rsidTr="00500BF8">
        <w:trPr>
          <w:trHeight w:val="233"/>
        </w:trPr>
        <w:tc>
          <w:tcPr>
            <w:tcW w:w="1413" w:type="dxa"/>
            <w:tcBorders>
              <w:top w:val="nil"/>
              <w:left w:val="single" w:sz="4" w:space="0" w:color="auto"/>
              <w:bottom w:val="single" w:sz="4" w:space="0" w:color="auto"/>
              <w:right w:val="single" w:sz="4" w:space="0" w:color="auto"/>
            </w:tcBorders>
            <w:noWrap/>
            <w:vAlign w:val="center"/>
            <w:hideMark/>
          </w:tcPr>
          <w:p w14:paraId="55D3BF60"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2020 03 03</w:t>
            </w:r>
          </w:p>
        </w:tc>
        <w:tc>
          <w:tcPr>
            <w:tcW w:w="2410" w:type="dxa"/>
            <w:tcBorders>
              <w:top w:val="nil"/>
              <w:left w:val="nil"/>
              <w:bottom w:val="single" w:sz="4" w:space="0" w:color="auto"/>
              <w:right w:val="single" w:sz="4" w:space="0" w:color="auto"/>
            </w:tcBorders>
            <w:noWrap/>
            <w:vAlign w:val="center"/>
            <w:hideMark/>
          </w:tcPr>
          <w:p w14:paraId="3761A1AA"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336,78 EUR</w:t>
            </w:r>
          </w:p>
        </w:tc>
        <w:tc>
          <w:tcPr>
            <w:tcW w:w="3260" w:type="dxa"/>
            <w:tcBorders>
              <w:top w:val="nil"/>
              <w:left w:val="nil"/>
              <w:bottom w:val="single" w:sz="4" w:space="0" w:color="auto"/>
              <w:right w:val="single" w:sz="4" w:space="0" w:color="auto"/>
            </w:tcBorders>
            <w:noWrap/>
            <w:vAlign w:val="center"/>
            <w:hideMark/>
          </w:tcPr>
          <w:p w14:paraId="3783BDCA"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Lango stiklas skilimas</w:t>
            </w:r>
          </w:p>
        </w:tc>
        <w:tc>
          <w:tcPr>
            <w:tcW w:w="2835" w:type="dxa"/>
            <w:tcBorders>
              <w:top w:val="nil"/>
              <w:left w:val="nil"/>
              <w:bottom w:val="single" w:sz="4" w:space="0" w:color="auto"/>
              <w:right w:val="single" w:sz="4" w:space="0" w:color="auto"/>
            </w:tcBorders>
            <w:noWrap/>
            <w:vAlign w:val="center"/>
            <w:hideMark/>
          </w:tcPr>
          <w:p w14:paraId="5414CFB7"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Minijos 153</w:t>
            </w:r>
          </w:p>
        </w:tc>
      </w:tr>
      <w:tr w:rsidR="009A3A18" w:rsidRPr="008778F5" w14:paraId="4A40F542" w14:textId="77777777" w:rsidTr="00500BF8">
        <w:trPr>
          <w:trHeight w:val="233"/>
        </w:trPr>
        <w:tc>
          <w:tcPr>
            <w:tcW w:w="1413" w:type="dxa"/>
            <w:tcBorders>
              <w:top w:val="nil"/>
              <w:left w:val="single" w:sz="4" w:space="0" w:color="auto"/>
              <w:bottom w:val="single" w:sz="4" w:space="0" w:color="auto"/>
              <w:right w:val="single" w:sz="4" w:space="0" w:color="auto"/>
            </w:tcBorders>
            <w:noWrap/>
            <w:vAlign w:val="center"/>
            <w:hideMark/>
          </w:tcPr>
          <w:p w14:paraId="450033B2"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2020 03 13</w:t>
            </w:r>
          </w:p>
        </w:tc>
        <w:tc>
          <w:tcPr>
            <w:tcW w:w="2410" w:type="dxa"/>
            <w:tcBorders>
              <w:top w:val="nil"/>
              <w:left w:val="nil"/>
              <w:bottom w:val="single" w:sz="4" w:space="0" w:color="auto"/>
              <w:right w:val="single" w:sz="4" w:space="0" w:color="auto"/>
            </w:tcBorders>
            <w:noWrap/>
            <w:vAlign w:val="center"/>
            <w:hideMark/>
          </w:tcPr>
          <w:p w14:paraId="33CC00FE"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5.175,45 EUR</w:t>
            </w:r>
          </w:p>
        </w:tc>
        <w:tc>
          <w:tcPr>
            <w:tcW w:w="3260" w:type="dxa"/>
            <w:tcBorders>
              <w:top w:val="nil"/>
              <w:left w:val="nil"/>
              <w:bottom w:val="single" w:sz="4" w:space="0" w:color="auto"/>
              <w:right w:val="single" w:sz="4" w:space="0" w:color="auto"/>
            </w:tcBorders>
            <w:noWrap/>
            <w:vAlign w:val="center"/>
            <w:hideMark/>
          </w:tcPr>
          <w:p w14:paraId="344ED522"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Po audros apgadintas stogas</w:t>
            </w:r>
          </w:p>
        </w:tc>
        <w:tc>
          <w:tcPr>
            <w:tcW w:w="2835" w:type="dxa"/>
            <w:tcBorders>
              <w:top w:val="nil"/>
              <w:left w:val="nil"/>
              <w:bottom w:val="single" w:sz="4" w:space="0" w:color="auto"/>
              <w:right w:val="single" w:sz="4" w:space="0" w:color="auto"/>
            </w:tcBorders>
            <w:noWrap/>
            <w:vAlign w:val="center"/>
            <w:hideMark/>
          </w:tcPr>
          <w:p w14:paraId="4F53506B"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H.Manto g. 84</w:t>
            </w:r>
          </w:p>
        </w:tc>
      </w:tr>
      <w:tr w:rsidR="009A3A18" w:rsidRPr="008778F5" w14:paraId="19033252" w14:textId="77777777" w:rsidTr="00500BF8">
        <w:trPr>
          <w:trHeight w:val="233"/>
        </w:trPr>
        <w:tc>
          <w:tcPr>
            <w:tcW w:w="1413" w:type="dxa"/>
            <w:tcBorders>
              <w:top w:val="nil"/>
              <w:left w:val="single" w:sz="4" w:space="0" w:color="auto"/>
              <w:bottom w:val="single" w:sz="4" w:space="0" w:color="auto"/>
              <w:right w:val="single" w:sz="4" w:space="0" w:color="auto"/>
            </w:tcBorders>
            <w:noWrap/>
            <w:vAlign w:val="center"/>
            <w:hideMark/>
          </w:tcPr>
          <w:p w14:paraId="390DBD65"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2020 03 13</w:t>
            </w:r>
          </w:p>
        </w:tc>
        <w:tc>
          <w:tcPr>
            <w:tcW w:w="2410" w:type="dxa"/>
            <w:tcBorders>
              <w:top w:val="nil"/>
              <w:left w:val="nil"/>
              <w:bottom w:val="single" w:sz="4" w:space="0" w:color="auto"/>
              <w:right w:val="single" w:sz="4" w:space="0" w:color="auto"/>
            </w:tcBorders>
            <w:noWrap/>
            <w:vAlign w:val="center"/>
            <w:hideMark/>
          </w:tcPr>
          <w:p w14:paraId="5F278C0E"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907,82 EUR</w:t>
            </w:r>
          </w:p>
        </w:tc>
        <w:tc>
          <w:tcPr>
            <w:tcW w:w="3260" w:type="dxa"/>
            <w:tcBorders>
              <w:top w:val="nil"/>
              <w:left w:val="nil"/>
              <w:bottom w:val="single" w:sz="4" w:space="0" w:color="auto"/>
              <w:right w:val="single" w:sz="4" w:space="0" w:color="auto"/>
            </w:tcBorders>
            <w:noWrap/>
            <w:vAlign w:val="center"/>
            <w:hideMark/>
          </w:tcPr>
          <w:p w14:paraId="0B34D00D"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Po audros apgadintas stogas</w:t>
            </w:r>
          </w:p>
        </w:tc>
        <w:tc>
          <w:tcPr>
            <w:tcW w:w="2835" w:type="dxa"/>
            <w:tcBorders>
              <w:top w:val="nil"/>
              <w:left w:val="nil"/>
              <w:bottom w:val="single" w:sz="4" w:space="0" w:color="auto"/>
              <w:right w:val="single" w:sz="4" w:space="0" w:color="auto"/>
            </w:tcBorders>
            <w:noWrap/>
            <w:vAlign w:val="center"/>
            <w:hideMark/>
          </w:tcPr>
          <w:p w14:paraId="041E49D5"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S.Nėries . 5</w:t>
            </w:r>
          </w:p>
        </w:tc>
      </w:tr>
      <w:tr w:rsidR="009A3A18" w:rsidRPr="008778F5" w14:paraId="628E4B90" w14:textId="77777777" w:rsidTr="00500BF8">
        <w:trPr>
          <w:trHeight w:val="233"/>
        </w:trPr>
        <w:tc>
          <w:tcPr>
            <w:tcW w:w="1413" w:type="dxa"/>
            <w:tcBorders>
              <w:top w:val="nil"/>
              <w:left w:val="single" w:sz="4" w:space="0" w:color="auto"/>
              <w:bottom w:val="single" w:sz="4" w:space="0" w:color="auto"/>
              <w:right w:val="single" w:sz="4" w:space="0" w:color="auto"/>
            </w:tcBorders>
            <w:noWrap/>
            <w:vAlign w:val="center"/>
            <w:hideMark/>
          </w:tcPr>
          <w:p w14:paraId="2AAE2146"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2021-12-07</w:t>
            </w:r>
          </w:p>
        </w:tc>
        <w:tc>
          <w:tcPr>
            <w:tcW w:w="2410" w:type="dxa"/>
            <w:tcBorders>
              <w:top w:val="nil"/>
              <w:left w:val="single" w:sz="4" w:space="0" w:color="auto"/>
              <w:bottom w:val="single" w:sz="4" w:space="0" w:color="auto"/>
              <w:right w:val="single" w:sz="4" w:space="0" w:color="auto"/>
            </w:tcBorders>
            <w:vAlign w:val="center"/>
            <w:hideMark/>
          </w:tcPr>
          <w:p w14:paraId="753F37B8"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2.742,83 EUR</w:t>
            </w:r>
          </w:p>
        </w:tc>
        <w:tc>
          <w:tcPr>
            <w:tcW w:w="3260" w:type="dxa"/>
            <w:tcBorders>
              <w:top w:val="nil"/>
              <w:left w:val="single" w:sz="4" w:space="0" w:color="auto"/>
              <w:bottom w:val="single" w:sz="4" w:space="0" w:color="auto"/>
              <w:right w:val="single" w:sz="4" w:space="0" w:color="auto"/>
            </w:tcBorders>
            <w:vAlign w:val="center"/>
            <w:hideMark/>
          </w:tcPr>
          <w:p w14:paraId="15497E04"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vanduo</w:t>
            </w:r>
          </w:p>
        </w:tc>
        <w:tc>
          <w:tcPr>
            <w:tcW w:w="2835" w:type="dxa"/>
            <w:tcBorders>
              <w:top w:val="nil"/>
              <w:left w:val="single" w:sz="4" w:space="0" w:color="auto"/>
              <w:bottom w:val="single" w:sz="4" w:space="0" w:color="auto"/>
              <w:right w:val="single" w:sz="4" w:space="0" w:color="auto"/>
            </w:tcBorders>
            <w:vAlign w:val="center"/>
            <w:hideMark/>
          </w:tcPr>
          <w:p w14:paraId="3F740FC8"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w:t>
            </w:r>
          </w:p>
        </w:tc>
      </w:tr>
      <w:tr w:rsidR="009A3A18" w:rsidRPr="008778F5" w14:paraId="79CB9ADE" w14:textId="77777777" w:rsidTr="00500BF8">
        <w:trPr>
          <w:trHeight w:val="233"/>
        </w:trPr>
        <w:tc>
          <w:tcPr>
            <w:tcW w:w="1413" w:type="dxa"/>
            <w:tcBorders>
              <w:top w:val="nil"/>
              <w:left w:val="single" w:sz="4" w:space="0" w:color="auto"/>
              <w:bottom w:val="single" w:sz="4" w:space="0" w:color="auto"/>
              <w:right w:val="single" w:sz="4" w:space="0" w:color="auto"/>
            </w:tcBorders>
            <w:noWrap/>
            <w:vAlign w:val="center"/>
            <w:hideMark/>
          </w:tcPr>
          <w:p w14:paraId="07F5C056"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2021-12-07</w:t>
            </w:r>
          </w:p>
        </w:tc>
        <w:tc>
          <w:tcPr>
            <w:tcW w:w="2410" w:type="dxa"/>
            <w:tcBorders>
              <w:top w:val="nil"/>
              <w:left w:val="single" w:sz="4" w:space="0" w:color="auto"/>
              <w:bottom w:val="single" w:sz="4" w:space="0" w:color="auto"/>
              <w:right w:val="single" w:sz="4" w:space="0" w:color="auto"/>
            </w:tcBorders>
            <w:vAlign w:val="center"/>
            <w:hideMark/>
          </w:tcPr>
          <w:p w14:paraId="79E061BB"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1.000,00 EUR</w:t>
            </w:r>
          </w:p>
        </w:tc>
        <w:tc>
          <w:tcPr>
            <w:tcW w:w="3260" w:type="dxa"/>
            <w:tcBorders>
              <w:top w:val="nil"/>
              <w:left w:val="single" w:sz="4" w:space="0" w:color="auto"/>
              <w:bottom w:val="single" w:sz="4" w:space="0" w:color="auto"/>
              <w:right w:val="single" w:sz="4" w:space="0" w:color="auto"/>
            </w:tcBorders>
            <w:vAlign w:val="center"/>
            <w:hideMark/>
          </w:tcPr>
          <w:p w14:paraId="30122F82"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vanduo</w:t>
            </w:r>
          </w:p>
        </w:tc>
        <w:tc>
          <w:tcPr>
            <w:tcW w:w="2835" w:type="dxa"/>
            <w:tcBorders>
              <w:top w:val="nil"/>
              <w:left w:val="single" w:sz="4" w:space="0" w:color="auto"/>
              <w:bottom w:val="single" w:sz="4" w:space="0" w:color="auto"/>
              <w:right w:val="single" w:sz="4" w:space="0" w:color="auto"/>
            </w:tcBorders>
            <w:vAlign w:val="center"/>
            <w:hideMark/>
          </w:tcPr>
          <w:p w14:paraId="44B54958"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w:t>
            </w:r>
          </w:p>
        </w:tc>
      </w:tr>
      <w:tr w:rsidR="009A3A18" w:rsidRPr="008778F5" w14:paraId="46FD92C8" w14:textId="77777777" w:rsidTr="00500BF8">
        <w:trPr>
          <w:trHeight w:val="233"/>
        </w:trPr>
        <w:tc>
          <w:tcPr>
            <w:tcW w:w="1413" w:type="dxa"/>
            <w:tcBorders>
              <w:top w:val="nil"/>
              <w:left w:val="single" w:sz="4" w:space="0" w:color="auto"/>
              <w:bottom w:val="single" w:sz="4" w:space="0" w:color="auto"/>
              <w:right w:val="single" w:sz="4" w:space="0" w:color="auto"/>
            </w:tcBorders>
            <w:noWrap/>
            <w:vAlign w:val="center"/>
            <w:hideMark/>
          </w:tcPr>
          <w:p w14:paraId="1301380D"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2022-01-17</w:t>
            </w:r>
          </w:p>
        </w:tc>
        <w:tc>
          <w:tcPr>
            <w:tcW w:w="2410" w:type="dxa"/>
            <w:tcBorders>
              <w:top w:val="nil"/>
              <w:left w:val="single" w:sz="4" w:space="0" w:color="auto"/>
              <w:bottom w:val="single" w:sz="4" w:space="0" w:color="auto"/>
              <w:right w:val="single" w:sz="4" w:space="0" w:color="auto"/>
            </w:tcBorders>
            <w:vAlign w:val="center"/>
            <w:hideMark/>
          </w:tcPr>
          <w:p w14:paraId="30D018E0"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866,48 EUR</w:t>
            </w:r>
          </w:p>
        </w:tc>
        <w:tc>
          <w:tcPr>
            <w:tcW w:w="3260" w:type="dxa"/>
            <w:tcBorders>
              <w:top w:val="nil"/>
              <w:left w:val="single" w:sz="4" w:space="0" w:color="auto"/>
              <w:bottom w:val="single" w:sz="4" w:space="0" w:color="auto"/>
              <w:right w:val="single" w:sz="4" w:space="0" w:color="auto"/>
            </w:tcBorders>
            <w:vAlign w:val="center"/>
            <w:hideMark/>
          </w:tcPr>
          <w:p w14:paraId="3A570E29"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gamtinės jėgos</w:t>
            </w:r>
          </w:p>
        </w:tc>
        <w:tc>
          <w:tcPr>
            <w:tcW w:w="2835" w:type="dxa"/>
            <w:tcBorders>
              <w:top w:val="nil"/>
              <w:left w:val="single" w:sz="4" w:space="0" w:color="auto"/>
              <w:bottom w:val="single" w:sz="4" w:space="0" w:color="auto"/>
              <w:right w:val="single" w:sz="4" w:space="0" w:color="auto"/>
            </w:tcBorders>
            <w:vAlign w:val="center"/>
            <w:hideMark/>
          </w:tcPr>
          <w:p w14:paraId="38C70AFE"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w:t>
            </w:r>
          </w:p>
        </w:tc>
      </w:tr>
      <w:tr w:rsidR="009A3A18" w:rsidRPr="008778F5" w14:paraId="0D3F3A87" w14:textId="77777777" w:rsidTr="00500BF8">
        <w:trPr>
          <w:trHeight w:val="233"/>
        </w:trPr>
        <w:tc>
          <w:tcPr>
            <w:tcW w:w="1413" w:type="dxa"/>
            <w:tcBorders>
              <w:top w:val="nil"/>
              <w:left w:val="single" w:sz="4" w:space="0" w:color="auto"/>
              <w:bottom w:val="single" w:sz="4" w:space="0" w:color="auto"/>
              <w:right w:val="single" w:sz="4" w:space="0" w:color="auto"/>
            </w:tcBorders>
            <w:noWrap/>
            <w:vAlign w:val="center"/>
            <w:hideMark/>
          </w:tcPr>
          <w:p w14:paraId="08F4DAB3"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lastRenderedPageBreak/>
              <w:t>2022-01-20</w:t>
            </w:r>
          </w:p>
        </w:tc>
        <w:tc>
          <w:tcPr>
            <w:tcW w:w="2410" w:type="dxa"/>
            <w:tcBorders>
              <w:top w:val="nil"/>
              <w:left w:val="single" w:sz="4" w:space="0" w:color="auto"/>
              <w:bottom w:val="single" w:sz="4" w:space="0" w:color="auto"/>
              <w:right w:val="single" w:sz="4" w:space="0" w:color="auto"/>
            </w:tcBorders>
            <w:vAlign w:val="center"/>
            <w:hideMark/>
          </w:tcPr>
          <w:p w14:paraId="3476C8EA"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89,26 EUR</w:t>
            </w:r>
          </w:p>
        </w:tc>
        <w:tc>
          <w:tcPr>
            <w:tcW w:w="3260" w:type="dxa"/>
            <w:tcBorders>
              <w:top w:val="nil"/>
              <w:left w:val="single" w:sz="4" w:space="0" w:color="auto"/>
              <w:bottom w:val="single" w:sz="4" w:space="0" w:color="auto"/>
              <w:right w:val="single" w:sz="4" w:space="0" w:color="auto"/>
            </w:tcBorders>
            <w:vAlign w:val="center"/>
            <w:hideMark/>
          </w:tcPr>
          <w:p w14:paraId="4C068236"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gamtinės jėgos</w:t>
            </w:r>
          </w:p>
        </w:tc>
        <w:tc>
          <w:tcPr>
            <w:tcW w:w="2835" w:type="dxa"/>
            <w:tcBorders>
              <w:top w:val="nil"/>
              <w:left w:val="single" w:sz="4" w:space="0" w:color="auto"/>
              <w:bottom w:val="single" w:sz="4" w:space="0" w:color="auto"/>
              <w:right w:val="single" w:sz="4" w:space="0" w:color="auto"/>
            </w:tcBorders>
            <w:vAlign w:val="center"/>
            <w:hideMark/>
          </w:tcPr>
          <w:p w14:paraId="30BE3D37"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Universiteto al 17, Klaipėda</w:t>
            </w:r>
          </w:p>
        </w:tc>
      </w:tr>
      <w:tr w:rsidR="009A3A18" w:rsidRPr="008778F5" w14:paraId="33B33B47" w14:textId="77777777" w:rsidTr="00500BF8">
        <w:trPr>
          <w:trHeight w:val="233"/>
        </w:trPr>
        <w:tc>
          <w:tcPr>
            <w:tcW w:w="1413" w:type="dxa"/>
            <w:tcBorders>
              <w:top w:val="nil"/>
              <w:left w:val="single" w:sz="4" w:space="0" w:color="auto"/>
              <w:bottom w:val="single" w:sz="4" w:space="0" w:color="auto"/>
              <w:right w:val="single" w:sz="4" w:space="0" w:color="auto"/>
            </w:tcBorders>
            <w:noWrap/>
            <w:vAlign w:val="center"/>
            <w:hideMark/>
          </w:tcPr>
          <w:p w14:paraId="4DB514D3"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2022-04-08</w:t>
            </w:r>
          </w:p>
        </w:tc>
        <w:tc>
          <w:tcPr>
            <w:tcW w:w="2410" w:type="dxa"/>
            <w:tcBorders>
              <w:top w:val="nil"/>
              <w:left w:val="single" w:sz="4" w:space="0" w:color="auto"/>
              <w:bottom w:val="single" w:sz="4" w:space="0" w:color="auto"/>
              <w:right w:val="single" w:sz="4" w:space="0" w:color="auto"/>
            </w:tcBorders>
            <w:vAlign w:val="center"/>
            <w:hideMark/>
          </w:tcPr>
          <w:p w14:paraId="36ECBCF1"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26,83 EUR</w:t>
            </w:r>
          </w:p>
        </w:tc>
        <w:tc>
          <w:tcPr>
            <w:tcW w:w="3260" w:type="dxa"/>
            <w:tcBorders>
              <w:top w:val="nil"/>
              <w:left w:val="single" w:sz="4" w:space="0" w:color="auto"/>
              <w:bottom w:val="single" w:sz="4" w:space="0" w:color="auto"/>
              <w:right w:val="single" w:sz="4" w:space="0" w:color="auto"/>
            </w:tcBorders>
            <w:vAlign w:val="center"/>
            <w:hideMark/>
          </w:tcPr>
          <w:p w14:paraId="33193EAC"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gamtinės jėgos</w:t>
            </w:r>
          </w:p>
        </w:tc>
        <w:tc>
          <w:tcPr>
            <w:tcW w:w="2835" w:type="dxa"/>
            <w:tcBorders>
              <w:top w:val="nil"/>
              <w:left w:val="single" w:sz="4" w:space="0" w:color="auto"/>
              <w:bottom w:val="single" w:sz="4" w:space="0" w:color="auto"/>
              <w:right w:val="single" w:sz="4" w:space="0" w:color="auto"/>
            </w:tcBorders>
            <w:vAlign w:val="center"/>
            <w:hideMark/>
          </w:tcPr>
          <w:p w14:paraId="6A860D25"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w:t>
            </w:r>
          </w:p>
        </w:tc>
      </w:tr>
      <w:tr w:rsidR="009A3A18" w:rsidRPr="008778F5" w14:paraId="13F30275" w14:textId="77777777" w:rsidTr="00500BF8">
        <w:trPr>
          <w:trHeight w:val="233"/>
        </w:trPr>
        <w:tc>
          <w:tcPr>
            <w:tcW w:w="1413" w:type="dxa"/>
            <w:tcBorders>
              <w:top w:val="single" w:sz="4" w:space="0" w:color="auto"/>
              <w:left w:val="single" w:sz="4" w:space="0" w:color="auto"/>
              <w:bottom w:val="single" w:sz="4" w:space="0" w:color="auto"/>
              <w:right w:val="single" w:sz="4" w:space="0" w:color="auto"/>
            </w:tcBorders>
            <w:noWrap/>
            <w:vAlign w:val="center"/>
          </w:tcPr>
          <w:p w14:paraId="7DF5EFC7"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2022-12-21</w:t>
            </w:r>
          </w:p>
        </w:tc>
        <w:tc>
          <w:tcPr>
            <w:tcW w:w="2410" w:type="dxa"/>
            <w:tcBorders>
              <w:top w:val="single" w:sz="4" w:space="0" w:color="auto"/>
              <w:left w:val="single" w:sz="4" w:space="0" w:color="auto"/>
              <w:bottom w:val="single" w:sz="4" w:space="0" w:color="auto"/>
              <w:right w:val="single" w:sz="4" w:space="0" w:color="auto"/>
            </w:tcBorders>
            <w:vAlign w:val="center"/>
          </w:tcPr>
          <w:p w14:paraId="5EFC8F17"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24.220,00 EUR</w:t>
            </w:r>
          </w:p>
        </w:tc>
        <w:tc>
          <w:tcPr>
            <w:tcW w:w="3260" w:type="dxa"/>
            <w:tcBorders>
              <w:top w:val="single" w:sz="4" w:space="0" w:color="auto"/>
              <w:left w:val="single" w:sz="4" w:space="0" w:color="auto"/>
              <w:bottom w:val="single" w:sz="4" w:space="0" w:color="auto"/>
              <w:right w:val="single" w:sz="4" w:space="0" w:color="auto"/>
            </w:tcBorders>
            <w:vAlign w:val="center"/>
          </w:tcPr>
          <w:p w14:paraId="1A0A517B"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Gaisras</w:t>
            </w:r>
          </w:p>
        </w:tc>
        <w:tc>
          <w:tcPr>
            <w:tcW w:w="2835" w:type="dxa"/>
            <w:tcBorders>
              <w:top w:val="single" w:sz="4" w:space="0" w:color="auto"/>
              <w:left w:val="single" w:sz="4" w:space="0" w:color="auto"/>
              <w:bottom w:val="single" w:sz="4" w:space="0" w:color="auto"/>
              <w:right w:val="single" w:sz="4" w:space="0" w:color="auto"/>
            </w:tcBorders>
            <w:vAlign w:val="center"/>
          </w:tcPr>
          <w:p w14:paraId="18E49348"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Statybininkų pr. 43, Klaipėda</w:t>
            </w:r>
          </w:p>
        </w:tc>
      </w:tr>
      <w:tr w:rsidR="009A3A18" w:rsidRPr="008778F5" w14:paraId="3A7F1CA4" w14:textId="77777777" w:rsidTr="00500BF8">
        <w:trPr>
          <w:trHeight w:val="233"/>
        </w:trPr>
        <w:tc>
          <w:tcPr>
            <w:tcW w:w="1413" w:type="dxa"/>
            <w:tcBorders>
              <w:top w:val="single" w:sz="4" w:space="0" w:color="auto"/>
              <w:left w:val="single" w:sz="4" w:space="0" w:color="auto"/>
              <w:bottom w:val="single" w:sz="4" w:space="0" w:color="auto"/>
              <w:right w:val="single" w:sz="4" w:space="0" w:color="auto"/>
            </w:tcBorders>
            <w:noWrap/>
            <w:vAlign w:val="center"/>
          </w:tcPr>
          <w:p w14:paraId="6CB1F90D"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2023-12-18</w:t>
            </w:r>
          </w:p>
        </w:tc>
        <w:tc>
          <w:tcPr>
            <w:tcW w:w="2410" w:type="dxa"/>
            <w:tcBorders>
              <w:top w:val="single" w:sz="4" w:space="0" w:color="auto"/>
              <w:left w:val="single" w:sz="4" w:space="0" w:color="auto"/>
              <w:bottom w:val="single" w:sz="4" w:space="0" w:color="auto"/>
              <w:right w:val="single" w:sz="4" w:space="0" w:color="auto"/>
            </w:tcBorders>
            <w:vAlign w:val="center"/>
          </w:tcPr>
          <w:p w14:paraId="02AC4A8F"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3.500,00 EUR</w:t>
            </w:r>
          </w:p>
        </w:tc>
        <w:tc>
          <w:tcPr>
            <w:tcW w:w="3260" w:type="dxa"/>
            <w:tcBorders>
              <w:top w:val="single" w:sz="4" w:space="0" w:color="auto"/>
              <w:left w:val="single" w:sz="4" w:space="0" w:color="auto"/>
              <w:bottom w:val="single" w:sz="4" w:space="0" w:color="auto"/>
              <w:right w:val="single" w:sz="4" w:space="0" w:color="auto"/>
            </w:tcBorders>
            <w:vAlign w:val="center"/>
          </w:tcPr>
          <w:p w14:paraId="26B4F38B"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Gamtinės jėgos</w:t>
            </w:r>
          </w:p>
        </w:tc>
        <w:tc>
          <w:tcPr>
            <w:tcW w:w="2835" w:type="dxa"/>
            <w:tcBorders>
              <w:top w:val="single" w:sz="4" w:space="0" w:color="auto"/>
              <w:left w:val="single" w:sz="4" w:space="0" w:color="auto"/>
              <w:bottom w:val="single" w:sz="4" w:space="0" w:color="auto"/>
              <w:right w:val="single" w:sz="4" w:space="0" w:color="auto"/>
            </w:tcBorders>
            <w:vAlign w:val="center"/>
          </w:tcPr>
          <w:p w14:paraId="06EFD9B1"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w:t>
            </w:r>
          </w:p>
        </w:tc>
      </w:tr>
      <w:tr w:rsidR="009A3A18" w:rsidRPr="008778F5" w14:paraId="37FF20ED" w14:textId="77777777" w:rsidTr="00500BF8">
        <w:trPr>
          <w:trHeight w:val="233"/>
        </w:trPr>
        <w:tc>
          <w:tcPr>
            <w:tcW w:w="1413" w:type="dxa"/>
            <w:tcBorders>
              <w:top w:val="single" w:sz="4" w:space="0" w:color="auto"/>
              <w:left w:val="single" w:sz="4" w:space="0" w:color="auto"/>
              <w:bottom w:val="single" w:sz="4" w:space="0" w:color="auto"/>
              <w:right w:val="single" w:sz="4" w:space="0" w:color="auto"/>
            </w:tcBorders>
            <w:noWrap/>
            <w:vAlign w:val="center"/>
          </w:tcPr>
          <w:p w14:paraId="397A820A"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2024-01-15</w:t>
            </w:r>
          </w:p>
        </w:tc>
        <w:tc>
          <w:tcPr>
            <w:tcW w:w="2410" w:type="dxa"/>
            <w:tcBorders>
              <w:top w:val="single" w:sz="4" w:space="0" w:color="auto"/>
              <w:left w:val="single" w:sz="4" w:space="0" w:color="auto"/>
              <w:bottom w:val="single" w:sz="4" w:space="0" w:color="auto"/>
              <w:right w:val="single" w:sz="4" w:space="0" w:color="auto"/>
            </w:tcBorders>
            <w:vAlign w:val="center"/>
          </w:tcPr>
          <w:p w14:paraId="2BDB97E5"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8.486,00 EUR</w:t>
            </w:r>
          </w:p>
        </w:tc>
        <w:tc>
          <w:tcPr>
            <w:tcW w:w="3260" w:type="dxa"/>
            <w:tcBorders>
              <w:top w:val="single" w:sz="4" w:space="0" w:color="auto"/>
              <w:left w:val="single" w:sz="4" w:space="0" w:color="auto"/>
              <w:bottom w:val="single" w:sz="4" w:space="0" w:color="auto"/>
              <w:right w:val="single" w:sz="4" w:space="0" w:color="auto"/>
            </w:tcBorders>
            <w:vAlign w:val="center"/>
          </w:tcPr>
          <w:p w14:paraId="225EF300"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Šildymo sistemos avarija, užpiltos patalpos</w:t>
            </w:r>
          </w:p>
        </w:tc>
        <w:tc>
          <w:tcPr>
            <w:tcW w:w="2835" w:type="dxa"/>
            <w:tcBorders>
              <w:top w:val="single" w:sz="4" w:space="0" w:color="auto"/>
              <w:left w:val="single" w:sz="4" w:space="0" w:color="auto"/>
              <w:bottom w:val="single" w:sz="4" w:space="0" w:color="auto"/>
              <w:right w:val="single" w:sz="4" w:space="0" w:color="auto"/>
            </w:tcBorders>
            <w:vAlign w:val="center"/>
          </w:tcPr>
          <w:p w14:paraId="2F9D136E" w14:textId="77777777" w:rsidR="009A3A18" w:rsidRPr="008778F5" w:rsidRDefault="009A3A18" w:rsidP="00500BF8">
            <w:pPr>
              <w:spacing w:after="0" w:line="240" w:lineRule="auto"/>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 xml:space="preserve">                     -</w:t>
            </w:r>
          </w:p>
        </w:tc>
      </w:tr>
      <w:tr w:rsidR="009A3A18" w:rsidRPr="008778F5" w14:paraId="510A9198" w14:textId="77777777" w:rsidTr="00500BF8">
        <w:trPr>
          <w:trHeight w:val="233"/>
        </w:trPr>
        <w:tc>
          <w:tcPr>
            <w:tcW w:w="1413" w:type="dxa"/>
            <w:tcBorders>
              <w:top w:val="single" w:sz="4" w:space="0" w:color="auto"/>
              <w:left w:val="single" w:sz="4" w:space="0" w:color="auto"/>
              <w:bottom w:val="single" w:sz="4" w:space="0" w:color="auto"/>
              <w:right w:val="single" w:sz="4" w:space="0" w:color="auto"/>
            </w:tcBorders>
            <w:noWrap/>
            <w:vAlign w:val="center"/>
          </w:tcPr>
          <w:p w14:paraId="519F0641"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2024-05-20</w:t>
            </w:r>
          </w:p>
        </w:tc>
        <w:tc>
          <w:tcPr>
            <w:tcW w:w="2410" w:type="dxa"/>
            <w:tcBorders>
              <w:top w:val="single" w:sz="4" w:space="0" w:color="auto"/>
              <w:left w:val="single" w:sz="4" w:space="0" w:color="auto"/>
              <w:bottom w:val="single" w:sz="4" w:space="0" w:color="auto"/>
              <w:right w:val="single" w:sz="4" w:space="0" w:color="auto"/>
            </w:tcBorders>
            <w:vAlign w:val="center"/>
          </w:tcPr>
          <w:p w14:paraId="5CBFC381"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1.489,00 EUR</w:t>
            </w:r>
          </w:p>
        </w:tc>
        <w:tc>
          <w:tcPr>
            <w:tcW w:w="3260" w:type="dxa"/>
            <w:tcBorders>
              <w:top w:val="single" w:sz="4" w:space="0" w:color="auto"/>
              <w:left w:val="single" w:sz="4" w:space="0" w:color="auto"/>
              <w:bottom w:val="single" w:sz="4" w:space="0" w:color="auto"/>
              <w:right w:val="single" w:sz="4" w:space="0" w:color="auto"/>
            </w:tcBorders>
            <w:vAlign w:val="center"/>
          </w:tcPr>
          <w:p w14:paraId="43BC082D" w14:textId="77777777" w:rsidR="009A3A18" w:rsidRPr="008778F5" w:rsidRDefault="009A3A18" w:rsidP="00500BF8">
            <w:pPr>
              <w:spacing w:after="0" w:line="240" w:lineRule="auto"/>
              <w:jc w:val="center"/>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Išdaužti 6 langų stiklo paketai</w:t>
            </w:r>
          </w:p>
        </w:tc>
        <w:tc>
          <w:tcPr>
            <w:tcW w:w="2835" w:type="dxa"/>
            <w:tcBorders>
              <w:top w:val="single" w:sz="4" w:space="0" w:color="auto"/>
              <w:left w:val="single" w:sz="4" w:space="0" w:color="auto"/>
              <w:bottom w:val="single" w:sz="4" w:space="0" w:color="auto"/>
              <w:right w:val="single" w:sz="4" w:space="0" w:color="auto"/>
            </w:tcBorders>
            <w:vAlign w:val="center"/>
          </w:tcPr>
          <w:p w14:paraId="1F9277CC" w14:textId="77777777" w:rsidR="009A3A18" w:rsidRPr="008778F5" w:rsidRDefault="009A3A18" w:rsidP="00500BF8">
            <w:pPr>
              <w:spacing w:after="0" w:line="240" w:lineRule="auto"/>
              <w:rPr>
                <w:rFonts w:ascii="Times New Roman" w:eastAsia="Times New Roman" w:hAnsi="Times New Roman" w:cs="Times New Roman"/>
                <w:color w:val="000000"/>
                <w:sz w:val="24"/>
                <w:szCs w:val="24"/>
              </w:rPr>
            </w:pPr>
            <w:r w:rsidRPr="008778F5">
              <w:rPr>
                <w:rFonts w:ascii="Times New Roman" w:eastAsia="Times New Roman" w:hAnsi="Times New Roman" w:cs="Times New Roman"/>
                <w:color w:val="000000"/>
                <w:sz w:val="24"/>
                <w:szCs w:val="24"/>
              </w:rPr>
              <w:t xml:space="preserve">                     -</w:t>
            </w:r>
          </w:p>
        </w:tc>
      </w:tr>
      <w:tr w:rsidR="009A3A18" w:rsidRPr="008778F5" w14:paraId="5E5C25D4" w14:textId="77777777" w:rsidTr="00500BF8">
        <w:trPr>
          <w:trHeight w:val="471"/>
        </w:trPr>
        <w:tc>
          <w:tcPr>
            <w:tcW w:w="9918" w:type="dxa"/>
            <w:gridSpan w:val="4"/>
            <w:tcBorders>
              <w:top w:val="single" w:sz="4" w:space="0" w:color="auto"/>
              <w:left w:val="single" w:sz="4" w:space="0" w:color="auto"/>
              <w:bottom w:val="single" w:sz="4" w:space="0" w:color="auto"/>
              <w:right w:val="single" w:sz="4" w:space="0" w:color="auto"/>
            </w:tcBorders>
            <w:noWrap/>
            <w:vAlign w:val="center"/>
          </w:tcPr>
          <w:p w14:paraId="1D804ECF" w14:textId="77777777" w:rsidR="009A3A18" w:rsidRPr="001175EC" w:rsidRDefault="009A3A18" w:rsidP="00500BF8">
            <w:pPr>
              <w:spacing w:after="0" w:line="240" w:lineRule="auto"/>
              <w:rPr>
                <w:rFonts w:ascii="Times New Roman" w:eastAsia="Times New Roman" w:hAnsi="Times New Roman" w:cs="Times New Roman"/>
                <w:b/>
                <w:bCs/>
                <w:color w:val="000000"/>
                <w:sz w:val="24"/>
                <w:szCs w:val="24"/>
              </w:rPr>
            </w:pPr>
            <w:r w:rsidRPr="001175EC">
              <w:rPr>
                <w:rFonts w:ascii="Times New Roman" w:eastAsia="Times New Roman" w:hAnsi="Times New Roman" w:cs="Times New Roman"/>
                <w:b/>
                <w:bCs/>
                <w:color w:val="000000"/>
                <w:sz w:val="24"/>
                <w:szCs w:val="24"/>
              </w:rPr>
              <w:t xml:space="preserve">2024-2025 metų sutarties metu, </w:t>
            </w:r>
            <w:r>
              <w:rPr>
                <w:rFonts w:ascii="Times New Roman" w:eastAsia="Times New Roman" w:hAnsi="Times New Roman" w:cs="Times New Roman"/>
                <w:b/>
                <w:bCs/>
                <w:color w:val="000000"/>
                <w:sz w:val="24"/>
                <w:szCs w:val="24"/>
              </w:rPr>
              <w:t xml:space="preserve">išmokų </w:t>
            </w:r>
            <w:r w:rsidRPr="001175EC">
              <w:rPr>
                <w:rFonts w:ascii="Times New Roman" w:eastAsia="Times New Roman" w:hAnsi="Times New Roman" w:cs="Times New Roman"/>
                <w:b/>
                <w:bCs/>
                <w:color w:val="000000"/>
                <w:sz w:val="24"/>
                <w:szCs w:val="24"/>
              </w:rPr>
              <w:t>nebuvo pagal draudžiamo turto objektus.</w:t>
            </w:r>
          </w:p>
        </w:tc>
      </w:tr>
      <w:tr w:rsidR="009A3A18" w:rsidRPr="008778F5" w14:paraId="52029BEC" w14:textId="77777777" w:rsidTr="00500BF8">
        <w:trPr>
          <w:trHeight w:val="471"/>
        </w:trPr>
        <w:tc>
          <w:tcPr>
            <w:tcW w:w="9918" w:type="dxa"/>
            <w:gridSpan w:val="4"/>
            <w:tcBorders>
              <w:top w:val="single" w:sz="4" w:space="0" w:color="auto"/>
              <w:left w:val="single" w:sz="4" w:space="0" w:color="auto"/>
              <w:bottom w:val="single" w:sz="4" w:space="0" w:color="auto"/>
              <w:right w:val="single" w:sz="4" w:space="0" w:color="auto"/>
            </w:tcBorders>
            <w:noWrap/>
            <w:vAlign w:val="center"/>
          </w:tcPr>
          <w:p w14:paraId="10240C90" w14:textId="77777777" w:rsidR="009A3A18" w:rsidRPr="001175EC" w:rsidRDefault="009A3A18" w:rsidP="00500BF8">
            <w:pPr>
              <w:spacing w:after="0" w:line="240" w:lineRule="auto"/>
              <w:rPr>
                <w:rFonts w:ascii="Times New Roman" w:eastAsia="Times New Roman" w:hAnsi="Times New Roman" w:cs="Times New Roman"/>
                <w:b/>
                <w:bCs/>
                <w:color w:val="000000"/>
                <w:sz w:val="24"/>
                <w:szCs w:val="24"/>
              </w:rPr>
            </w:pPr>
            <w:r w:rsidRPr="003726CF">
              <w:rPr>
                <w:rFonts w:ascii="Times New Roman" w:eastAsia="Times New Roman" w:hAnsi="Times New Roman" w:cs="Times New Roman"/>
                <w:b/>
                <w:bCs/>
                <w:color w:val="000000"/>
                <w:sz w:val="24"/>
                <w:szCs w:val="24"/>
              </w:rPr>
              <w:t>2025–2026 m. draudimo sutarties galiojimo laikotarpiu išmokų dėl apdrausto turto objektų nebuvo.</w:t>
            </w:r>
          </w:p>
        </w:tc>
      </w:tr>
    </w:tbl>
    <w:p w14:paraId="49247BA2" w14:textId="77777777" w:rsidR="009A3A18" w:rsidRPr="005A2D58" w:rsidRDefault="009A3A18" w:rsidP="009A3A18">
      <w:pPr>
        <w:tabs>
          <w:tab w:val="left" w:pos="284"/>
          <w:tab w:val="left" w:pos="426"/>
        </w:tabs>
        <w:suppressAutoHyphens/>
        <w:spacing w:after="0" w:line="240" w:lineRule="auto"/>
        <w:ind w:left="567"/>
        <w:contextualSpacing/>
        <w:jc w:val="both"/>
        <w:rPr>
          <w:rFonts w:asciiTheme="majorBidi" w:eastAsia="Times New Roman" w:hAnsiTheme="majorBidi" w:cstheme="majorBidi"/>
          <w:sz w:val="24"/>
          <w:szCs w:val="24"/>
          <w:highlight w:val="yellow"/>
          <w:lang w:eastAsia="zh-CN"/>
        </w:rPr>
      </w:pPr>
    </w:p>
    <w:p w14:paraId="17A7D9F5" w14:textId="77777777" w:rsidR="009A3A18" w:rsidRPr="005F250D" w:rsidRDefault="009A3A18" w:rsidP="009A3A18">
      <w:pPr>
        <w:rPr>
          <w:rFonts w:asciiTheme="majorBidi" w:eastAsia="Times New Roman" w:hAnsiTheme="majorBidi" w:cstheme="majorBidi"/>
          <w:sz w:val="24"/>
          <w:szCs w:val="24"/>
          <w:lang w:eastAsia="zh-CN"/>
        </w:rPr>
      </w:pPr>
    </w:p>
    <w:p w14:paraId="1D615942" w14:textId="77777777" w:rsidR="009A3A18" w:rsidRPr="005F250D" w:rsidRDefault="009A3A18" w:rsidP="009A3A18">
      <w:pPr>
        <w:jc w:val="center"/>
        <w:rPr>
          <w:rFonts w:asciiTheme="majorBidi" w:eastAsia="Times New Roman" w:hAnsiTheme="majorBidi" w:cstheme="majorBidi"/>
          <w:b/>
          <w:sz w:val="24"/>
          <w:szCs w:val="24"/>
          <w:lang w:eastAsia="zh-CN"/>
        </w:rPr>
      </w:pPr>
      <w:r w:rsidRPr="005F250D">
        <w:rPr>
          <w:rFonts w:asciiTheme="majorBidi" w:eastAsia="Times New Roman" w:hAnsiTheme="majorBidi" w:cstheme="majorBidi"/>
          <w:b/>
          <w:sz w:val="24"/>
          <w:szCs w:val="24"/>
          <w:lang w:eastAsia="zh-CN"/>
        </w:rPr>
        <w:t>NEKILNOJAMO TURTO DRAUDIMO SĄLYGOS</w:t>
      </w:r>
    </w:p>
    <w:p w14:paraId="3AA9F6DE" w14:textId="77777777" w:rsidR="009A3A18" w:rsidRPr="005A2D58" w:rsidRDefault="009A3A18" w:rsidP="009A3A18">
      <w:pPr>
        <w:tabs>
          <w:tab w:val="left" w:pos="142"/>
          <w:tab w:val="left" w:pos="284"/>
        </w:tabs>
        <w:suppressAutoHyphens/>
        <w:spacing w:after="0" w:line="240" w:lineRule="auto"/>
        <w:ind w:left="1440"/>
        <w:contextualSpacing/>
        <w:rPr>
          <w:rFonts w:asciiTheme="majorBidi" w:eastAsia="Times New Roman" w:hAnsiTheme="majorBidi" w:cstheme="majorBidi"/>
          <w:b/>
          <w:sz w:val="24"/>
          <w:szCs w:val="24"/>
          <w:highlight w:val="yellow"/>
          <w:lang w:eastAsia="zh-CN"/>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2410"/>
        <w:gridCol w:w="1701"/>
      </w:tblGrid>
      <w:tr w:rsidR="009A3A18" w:rsidRPr="005A2D58" w14:paraId="2505F5B1" w14:textId="77777777" w:rsidTr="009A3A18">
        <w:trPr>
          <w:trHeight w:val="616"/>
        </w:trPr>
        <w:tc>
          <w:tcPr>
            <w:tcW w:w="595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707DD7" w14:textId="77777777" w:rsidR="009A3A18" w:rsidRPr="005F250D" w:rsidRDefault="009A3A18" w:rsidP="00500BF8">
            <w:pPr>
              <w:spacing w:after="0" w:line="240" w:lineRule="auto"/>
              <w:jc w:val="center"/>
              <w:rPr>
                <w:rFonts w:asciiTheme="majorBidi" w:eastAsia="Times New Roman" w:hAnsiTheme="majorBidi" w:cstheme="majorBidi"/>
                <w:b/>
                <w:sz w:val="24"/>
                <w:szCs w:val="24"/>
                <w:lang w:eastAsia="lt-LT"/>
              </w:rPr>
            </w:pPr>
            <w:r w:rsidRPr="005F250D">
              <w:rPr>
                <w:rFonts w:asciiTheme="majorBidi" w:eastAsia="Times New Roman" w:hAnsiTheme="majorBidi" w:cstheme="majorBidi"/>
                <w:b/>
                <w:sz w:val="24"/>
                <w:szCs w:val="24"/>
              </w:rPr>
              <w:t>Draudimo objektai</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9856C1" w14:textId="77777777" w:rsidR="009A3A18" w:rsidRPr="005F250D" w:rsidRDefault="009A3A18" w:rsidP="00500BF8">
            <w:pPr>
              <w:spacing w:after="0" w:line="240" w:lineRule="auto"/>
              <w:jc w:val="center"/>
              <w:rPr>
                <w:rFonts w:asciiTheme="majorBidi" w:eastAsia="Times New Roman" w:hAnsiTheme="majorBidi" w:cstheme="majorBidi"/>
                <w:sz w:val="24"/>
                <w:szCs w:val="24"/>
              </w:rPr>
            </w:pPr>
            <w:r w:rsidRPr="005F250D">
              <w:rPr>
                <w:rFonts w:asciiTheme="majorBidi" w:eastAsia="Times New Roman" w:hAnsiTheme="majorBidi" w:cstheme="majorBidi"/>
                <w:b/>
                <w:sz w:val="24"/>
                <w:szCs w:val="24"/>
              </w:rPr>
              <w:t>Draudimo suma</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5A45060D" w14:textId="77777777" w:rsidR="009A3A18" w:rsidRPr="005F250D" w:rsidRDefault="009A3A18" w:rsidP="00500BF8">
            <w:pPr>
              <w:spacing w:after="0" w:line="240" w:lineRule="auto"/>
              <w:jc w:val="center"/>
              <w:rPr>
                <w:rFonts w:asciiTheme="majorBidi" w:eastAsia="Times New Roman" w:hAnsiTheme="majorBidi" w:cstheme="majorBidi"/>
                <w:b/>
                <w:sz w:val="24"/>
                <w:szCs w:val="24"/>
              </w:rPr>
            </w:pPr>
            <w:r w:rsidRPr="005F250D">
              <w:rPr>
                <w:rFonts w:asciiTheme="majorBidi" w:eastAsia="Times New Roman" w:hAnsiTheme="majorBidi" w:cstheme="majorBidi"/>
                <w:b/>
                <w:sz w:val="24"/>
                <w:szCs w:val="24"/>
              </w:rPr>
              <w:t xml:space="preserve">Besąlyginė išskaita </w:t>
            </w:r>
          </w:p>
        </w:tc>
      </w:tr>
      <w:tr w:rsidR="00E92ED0" w:rsidRPr="005A2D58" w14:paraId="03CFAF67" w14:textId="77777777" w:rsidTr="009A3A18">
        <w:trPr>
          <w:trHeight w:val="2652"/>
        </w:trPr>
        <w:tc>
          <w:tcPr>
            <w:tcW w:w="5954" w:type="dxa"/>
            <w:tcBorders>
              <w:top w:val="single" w:sz="4" w:space="0" w:color="auto"/>
              <w:left w:val="single" w:sz="4" w:space="0" w:color="auto"/>
              <w:bottom w:val="single" w:sz="4" w:space="0" w:color="auto"/>
              <w:right w:val="single" w:sz="4" w:space="0" w:color="auto"/>
            </w:tcBorders>
            <w:hideMark/>
          </w:tcPr>
          <w:p w14:paraId="70AF6063" w14:textId="77777777" w:rsidR="00E92ED0" w:rsidRPr="005F250D" w:rsidRDefault="00E92ED0" w:rsidP="00E92ED0">
            <w:pPr>
              <w:numPr>
                <w:ilvl w:val="0"/>
                <w:numId w:val="3"/>
              </w:numPr>
              <w:spacing w:after="0" w:line="240" w:lineRule="auto"/>
              <w:ind w:left="460"/>
              <w:jc w:val="both"/>
              <w:rPr>
                <w:rFonts w:asciiTheme="majorBidi" w:eastAsia="Calibri" w:hAnsiTheme="majorBidi" w:cstheme="majorBidi"/>
                <w:sz w:val="24"/>
                <w:szCs w:val="24"/>
              </w:rPr>
            </w:pPr>
            <w:r w:rsidRPr="005F250D">
              <w:rPr>
                <w:rFonts w:asciiTheme="majorBidi" w:eastAsia="Calibri" w:hAnsiTheme="majorBidi" w:cstheme="majorBidi"/>
                <w:sz w:val="24"/>
                <w:szCs w:val="24"/>
              </w:rPr>
              <w:t>Pastatai, patalpos (nekilnojamas turtas) pagal sąrašą (</w:t>
            </w:r>
            <w:r w:rsidRPr="005F250D">
              <w:rPr>
                <w:rFonts w:asciiTheme="majorBidi" w:eastAsia="Times New Roman" w:hAnsiTheme="majorBidi" w:cstheme="majorBidi"/>
                <w:sz w:val="24"/>
                <w:szCs w:val="24"/>
                <w:lang w:eastAsia="zh-CN"/>
              </w:rPr>
              <w:t>Pirkimo sąlygų 2 priedo „Techninė specifikacija“ 1 priedas</w:t>
            </w:r>
            <w:r w:rsidRPr="005F250D">
              <w:rPr>
                <w:rFonts w:asciiTheme="majorBidi" w:eastAsia="Calibri" w:hAnsiTheme="majorBidi" w:cstheme="majorBidi"/>
                <w:sz w:val="24"/>
                <w:szCs w:val="24"/>
              </w:rPr>
              <w:t>).</w:t>
            </w:r>
          </w:p>
          <w:p w14:paraId="1311B50C" w14:textId="77777777" w:rsidR="00E92ED0" w:rsidRPr="005F250D" w:rsidRDefault="00E92ED0" w:rsidP="00E92ED0">
            <w:pPr>
              <w:tabs>
                <w:tab w:val="left" w:pos="0"/>
              </w:tabs>
              <w:spacing w:after="0" w:line="240" w:lineRule="auto"/>
              <w:ind w:left="460"/>
              <w:jc w:val="both"/>
              <w:rPr>
                <w:rFonts w:asciiTheme="majorBidi" w:eastAsia="Calibri" w:hAnsiTheme="majorBidi" w:cstheme="majorBidi"/>
                <w:i/>
                <w:iCs/>
                <w:sz w:val="24"/>
                <w:szCs w:val="24"/>
              </w:rPr>
            </w:pPr>
            <w:r w:rsidRPr="005F250D">
              <w:rPr>
                <w:rFonts w:asciiTheme="majorBidi" w:eastAsia="Calibri" w:hAnsiTheme="majorBidi" w:cstheme="majorBidi"/>
                <w:i/>
                <w:iCs/>
                <w:sz w:val="24"/>
                <w:szCs w:val="24"/>
              </w:rPr>
              <w:t>Pastatams bei statiniams taip pat priskiriami ir pastatų bei statinių viduje esantys įrenginiai, kurie pagal paskirtį ir prigimtį yra nekilnojamieji: šildymo, vandentiekio, kanalizacijos, sprinklerinės sistemos stacionarūs įrenginiai; pastato bei statinio elektros instaliacijos įrenginiai; vėdinimo ir oro kondicionavimo stacionarūs įrenginiai; turto ir priešgaisrinės apsaugos stacionari įranga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95B433C" w14:textId="5D65535E" w:rsidR="00E92ED0" w:rsidRPr="005A2D58" w:rsidRDefault="00E92ED0" w:rsidP="00E92ED0">
            <w:pPr>
              <w:spacing w:after="0" w:line="240" w:lineRule="auto"/>
              <w:jc w:val="center"/>
              <w:rPr>
                <w:rFonts w:asciiTheme="majorBidi" w:eastAsia="Calibri" w:hAnsiTheme="majorBidi" w:cstheme="majorBidi"/>
                <w:color w:val="000000"/>
                <w:sz w:val="24"/>
                <w:szCs w:val="24"/>
                <w:highlight w:val="yellow"/>
              </w:rPr>
            </w:pPr>
            <w:r w:rsidRPr="00F1694D">
              <w:rPr>
                <w:rFonts w:ascii="Times New Roman" w:eastAsia="Times New Roman" w:hAnsi="Times New Roman" w:cs="Times New Roman"/>
                <w:sz w:val="24"/>
                <w:szCs w:val="20"/>
              </w:rPr>
              <w:t>40 113 448,63</w:t>
            </w:r>
            <w:r>
              <w:rPr>
                <w:rFonts w:ascii="Times New Roman" w:eastAsia="Times New Roman" w:hAnsi="Times New Roman" w:cs="Times New Roman"/>
                <w:sz w:val="24"/>
                <w:szCs w:val="20"/>
              </w:rPr>
              <w:t xml:space="preserve"> </w:t>
            </w:r>
            <w:r w:rsidRPr="008778F5">
              <w:rPr>
                <w:rFonts w:ascii="Times New Roman" w:eastAsia="Times New Roman" w:hAnsi="Times New Roman" w:cs="Times New Roman"/>
                <w:sz w:val="24"/>
                <w:szCs w:val="20"/>
              </w:rPr>
              <w:t>EUR</w:t>
            </w:r>
          </w:p>
        </w:tc>
        <w:tc>
          <w:tcPr>
            <w:tcW w:w="1701" w:type="dxa"/>
            <w:vMerge w:val="restart"/>
            <w:tcBorders>
              <w:top w:val="single" w:sz="4" w:space="0" w:color="auto"/>
              <w:left w:val="single" w:sz="4" w:space="0" w:color="auto"/>
              <w:right w:val="single" w:sz="4" w:space="0" w:color="auto"/>
            </w:tcBorders>
            <w:vAlign w:val="center"/>
            <w:hideMark/>
          </w:tcPr>
          <w:p w14:paraId="2D2F1F47" w14:textId="77777777" w:rsidR="00E92ED0" w:rsidRPr="005A2D58" w:rsidRDefault="00E92ED0" w:rsidP="00E92ED0">
            <w:pPr>
              <w:spacing w:after="0" w:line="240" w:lineRule="auto"/>
              <w:jc w:val="center"/>
              <w:rPr>
                <w:rFonts w:asciiTheme="majorBidi" w:eastAsia="Times New Roman" w:hAnsiTheme="majorBidi" w:cstheme="majorBidi"/>
                <w:sz w:val="24"/>
                <w:szCs w:val="24"/>
                <w:highlight w:val="yellow"/>
              </w:rPr>
            </w:pPr>
            <w:r w:rsidRPr="005F250D">
              <w:rPr>
                <w:rFonts w:asciiTheme="majorBidi" w:eastAsia="Times New Roman" w:hAnsiTheme="majorBidi" w:cstheme="majorBidi"/>
                <w:sz w:val="24"/>
                <w:szCs w:val="24"/>
              </w:rPr>
              <w:t xml:space="preserve">Taikoma pagal pagal techninės specifikacijos  </w:t>
            </w:r>
            <w:r>
              <w:rPr>
                <w:rFonts w:asciiTheme="majorBidi" w:eastAsia="Times New Roman" w:hAnsiTheme="majorBidi" w:cstheme="majorBidi"/>
                <w:sz w:val="24"/>
                <w:szCs w:val="24"/>
              </w:rPr>
              <w:t>4</w:t>
            </w:r>
            <w:r w:rsidRPr="005F250D">
              <w:rPr>
                <w:rFonts w:asciiTheme="majorBidi" w:eastAsia="Times New Roman" w:hAnsiTheme="majorBidi" w:cstheme="majorBidi"/>
                <w:sz w:val="24"/>
                <w:szCs w:val="24"/>
              </w:rPr>
              <w:t xml:space="preserve"> punktą. </w:t>
            </w:r>
          </w:p>
        </w:tc>
      </w:tr>
      <w:tr w:rsidR="00E92ED0" w:rsidRPr="005A2D58" w14:paraId="74304215" w14:textId="77777777" w:rsidTr="009A3A18">
        <w:trPr>
          <w:trHeight w:val="1258"/>
        </w:trPr>
        <w:tc>
          <w:tcPr>
            <w:tcW w:w="5954" w:type="dxa"/>
            <w:tcBorders>
              <w:top w:val="single" w:sz="4" w:space="0" w:color="auto"/>
              <w:left w:val="single" w:sz="4" w:space="0" w:color="auto"/>
              <w:bottom w:val="single" w:sz="4" w:space="0" w:color="auto"/>
              <w:right w:val="single" w:sz="4" w:space="0" w:color="auto"/>
            </w:tcBorders>
            <w:hideMark/>
          </w:tcPr>
          <w:p w14:paraId="5188B645" w14:textId="77777777" w:rsidR="00E92ED0" w:rsidRPr="005F250D" w:rsidRDefault="00E92ED0" w:rsidP="00E92ED0">
            <w:pPr>
              <w:numPr>
                <w:ilvl w:val="0"/>
                <w:numId w:val="3"/>
              </w:numPr>
              <w:tabs>
                <w:tab w:val="left" w:pos="624"/>
              </w:tabs>
              <w:spacing w:after="0" w:line="240" w:lineRule="auto"/>
              <w:ind w:left="460" w:hanging="425"/>
              <w:jc w:val="both"/>
              <w:rPr>
                <w:rFonts w:asciiTheme="majorBidi" w:eastAsia="Calibri" w:hAnsiTheme="majorBidi" w:cstheme="majorBidi"/>
                <w:sz w:val="24"/>
                <w:szCs w:val="24"/>
              </w:rPr>
            </w:pPr>
            <w:r w:rsidRPr="005F250D">
              <w:rPr>
                <w:rFonts w:asciiTheme="majorBidi" w:eastAsia="Calibri" w:hAnsiTheme="majorBidi" w:cstheme="majorBidi"/>
                <w:sz w:val="24"/>
                <w:szCs w:val="24"/>
              </w:rPr>
              <w:t>Inžineriniai priklausiniai (kiemo statiniai ir įrenginiai, aikštelės, stadionai ir kt.), kurie nėra registruoti „Registrų centre“, bet priklauso apdrausto turto valdytojams, draudžiami pirmos rizikos draudimu, adresais kurie yra pagal nekilnojamo turto sąrašą.</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4C54338" w14:textId="0797A80E" w:rsidR="00E92ED0" w:rsidRPr="005F250D" w:rsidRDefault="00E92ED0" w:rsidP="00E92ED0">
            <w:pPr>
              <w:spacing w:after="0" w:line="240" w:lineRule="auto"/>
              <w:jc w:val="center"/>
              <w:rPr>
                <w:rFonts w:asciiTheme="majorBidi" w:eastAsia="Calibri" w:hAnsiTheme="majorBidi" w:cstheme="majorBidi"/>
                <w:color w:val="000000"/>
                <w:sz w:val="24"/>
                <w:szCs w:val="24"/>
              </w:rPr>
            </w:pPr>
            <w:r w:rsidRPr="005F250D">
              <w:rPr>
                <w:rFonts w:asciiTheme="majorBidi" w:eastAsia="Calibri" w:hAnsiTheme="majorBidi" w:cstheme="majorBidi"/>
                <w:color w:val="000000"/>
                <w:sz w:val="24"/>
                <w:szCs w:val="24"/>
              </w:rPr>
              <w:t xml:space="preserve">10.000,00 </w:t>
            </w:r>
            <w:r>
              <w:rPr>
                <w:rFonts w:asciiTheme="majorBidi" w:eastAsia="Calibri" w:hAnsiTheme="majorBidi" w:cstheme="majorBidi"/>
                <w:color w:val="000000"/>
                <w:sz w:val="24"/>
                <w:szCs w:val="24"/>
              </w:rPr>
              <w:t>EUR</w:t>
            </w:r>
          </w:p>
        </w:tc>
        <w:tc>
          <w:tcPr>
            <w:tcW w:w="1701" w:type="dxa"/>
            <w:vMerge/>
            <w:tcBorders>
              <w:left w:val="single" w:sz="4" w:space="0" w:color="auto"/>
              <w:right w:val="single" w:sz="4" w:space="0" w:color="auto"/>
            </w:tcBorders>
            <w:vAlign w:val="center"/>
            <w:hideMark/>
          </w:tcPr>
          <w:p w14:paraId="1EB08021" w14:textId="77777777" w:rsidR="00E92ED0" w:rsidRPr="005A2D58" w:rsidRDefault="00E92ED0" w:rsidP="00E92ED0">
            <w:pPr>
              <w:spacing w:after="0"/>
              <w:rPr>
                <w:rFonts w:asciiTheme="majorBidi" w:eastAsia="Times New Roman" w:hAnsiTheme="majorBidi" w:cstheme="majorBidi"/>
                <w:sz w:val="24"/>
                <w:szCs w:val="24"/>
                <w:highlight w:val="yellow"/>
              </w:rPr>
            </w:pPr>
          </w:p>
        </w:tc>
      </w:tr>
      <w:tr w:rsidR="00E92ED0" w:rsidRPr="005A2D58" w14:paraId="511A04C0" w14:textId="77777777" w:rsidTr="009A3A18">
        <w:trPr>
          <w:trHeight w:val="687"/>
        </w:trPr>
        <w:tc>
          <w:tcPr>
            <w:tcW w:w="5954" w:type="dxa"/>
            <w:tcBorders>
              <w:top w:val="single" w:sz="4" w:space="0" w:color="auto"/>
              <w:left w:val="single" w:sz="4" w:space="0" w:color="auto"/>
              <w:bottom w:val="single" w:sz="4" w:space="0" w:color="auto"/>
              <w:right w:val="single" w:sz="4" w:space="0" w:color="auto"/>
            </w:tcBorders>
          </w:tcPr>
          <w:p w14:paraId="7A64267F" w14:textId="77777777" w:rsidR="00E92ED0" w:rsidRPr="005F250D" w:rsidRDefault="00E92ED0" w:rsidP="00E92ED0">
            <w:pPr>
              <w:numPr>
                <w:ilvl w:val="0"/>
                <w:numId w:val="3"/>
              </w:numPr>
              <w:tabs>
                <w:tab w:val="left" w:pos="624"/>
              </w:tabs>
              <w:spacing w:after="0" w:line="240" w:lineRule="auto"/>
              <w:ind w:left="460" w:hanging="425"/>
              <w:jc w:val="both"/>
              <w:rPr>
                <w:rFonts w:asciiTheme="majorBidi" w:eastAsia="Calibri" w:hAnsiTheme="majorBidi" w:cstheme="majorBidi"/>
                <w:sz w:val="24"/>
                <w:szCs w:val="24"/>
              </w:rPr>
            </w:pPr>
            <w:r w:rsidRPr="005F250D">
              <w:rPr>
                <w:rFonts w:ascii="Times New Roman" w:eastAsia="Times New Roman" w:hAnsi="Times New Roman" w:cs="Times New Roman"/>
                <w:sz w:val="24"/>
                <w:szCs w:val="20"/>
              </w:rPr>
              <w:t xml:space="preserve">Kilnojamas turtas pagal sąrašą </w:t>
            </w:r>
            <w:r w:rsidRPr="005F250D">
              <w:rPr>
                <w:rFonts w:asciiTheme="majorBidi" w:eastAsia="Calibri" w:hAnsiTheme="majorBidi" w:cstheme="majorBidi"/>
                <w:sz w:val="24"/>
                <w:szCs w:val="24"/>
              </w:rPr>
              <w:t>(</w:t>
            </w:r>
            <w:r w:rsidRPr="005F250D">
              <w:rPr>
                <w:rFonts w:asciiTheme="majorBidi" w:eastAsia="Times New Roman" w:hAnsiTheme="majorBidi" w:cstheme="majorBidi"/>
                <w:sz w:val="24"/>
                <w:szCs w:val="24"/>
                <w:lang w:eastAsia="zh-CN"/>
              </w:rPr>
              <w:t>Pirkimo sąlygų 2 priedo „Techninė specifikacija“ 2 priedas</w:t>
            </w:r>
            <w:r w:rsidRPr="005F250D">
              <w:rPr>
                <w:rFonts w:asciiTheme="majorBidi" w:eastAsia="Calibri" w:hAnsiTheme="majorBidi" w:cstheme="majorBidi"/>
                <w:sz w:val="24"/>
                <w:szCs w:val="24"/>
              </w:rPr>
              <w:t>).</w:t>
            </w:r>
          </w:p>
        </w:tc>
        <w:tc>
          <w:tcPr>
            <w:tcW w:w="2410" w:type="dxa"/>
            <w:tcBorders>
              <w:top w:val="single" w:sz="4" w:space="0" w:color="auto"/>
              <w:left w:val="single" w:sz="4" w:space="0" w:color="auto"/>
              <w:bottom w:val="single" w:sz="4" w:space="0" w:color="auto"/>
              <w:right w:val="single" w:sz="4" w:space="0" w:color="auto"/>
            </w:tcBorders>
            <w:vAlign w:val="center"/>
          </w:tcPr>
          <w:p w14:paraId="6F25D48A" w14:textId="66025433" w:rsidR="00E92ED0" w:rsidRPr="005F250D" w:rsidRDefault="00E92ED0" w:rsidP="00E92ED0">
            <w:pPr>
              <w:spacing w:after="0" w:line="240" w:lineRule="auto"/>
              <w:jc w:val="center"/>
              <w:rPr>
                <w:rFonts w:ascii="Aptos Narrow" w:hAnsi="Aptos Narrow"/>
                <w:color w:val="000000"/>
              </w:rPr>
            </w:pPr>
            <w:r w:rsidRPr="000638E0">
              <w:rPr>
                <w:rFonts w:asciiTheme="majorBidi" w:eastAsia="Calibri" w:hAnsiTheme="majorBidi" w:cstheme="majorBidi"/>
                <w:color w:val="000000"/>
                <w:sz w:val="24"/>
                <w:szCs w:val="24"/>
              </w:rPr>
              <w:t>1 353 312,85</w:t>
            </w:r>
            <w:r>
              <w:rPr>
                <w:rFonts w:asciiTheme="majorBidi" w:eastAsia="Calibri" w:hAnsiTheme="majorBidi" w:cstheme="majorBidi"/>
                <w:color w:val="000000"/>
                <w:sz w:val="24"/>
                <w:szCs w:val="24"/>
              </w:rPr>
              <w:t xml:space="preserve"> </w:t>
            </w:r>
            <w:r w:rsidRPr="005F250D">
              <w:rPr>
                <w:rFonts w:asciiTheme="majorBidi" w:eastAsia="Calibri" w:hAnsiTheme="majorBidi" w:cstheme="majorBidi"/>
                <w:color w:val="000000"/>
                <w:sz w:val="24"/>
                <w:szCs w:val="24"/>
              </w:rPr>
              <w:t>EUR</w:t>
            </w:r>
          </w:p>
        </w:tc>
        <w:tc>
          <w:tcPr>
            <w:tcW w:w="1701" w:type="dxa"/>
            <w:vMerge/>
            <w:tcBorders>
              <w:left w:val="single" w:sz="4" w:space="0" w:color="auto"/>
              <w:bottom w:val="single" w:sz="4" w:space="0" w:color="auto"/>
              <w:right w:val="single" w:sz="4" w:space="0" w:color="auto"/>
            </w:tcBorders>
            <w:vAlign w:val="center"/>
          </w:tcPr>
          <w:p w14:paraId="19579C75" w14:textId="77777777" w:rsidR="00E92ED0" w:rsidRPr="005A2D58" w:rsidRDefault="00E92ED0" w:rsidP="00E92ED0">
            <w:pPr>
              <w:spacing w:after="0"/>
              <w:rPr>
                <w:rFonts w:asciiTheme="majorBidi" w:eastAsia="Times New Roman" w:hAnsiTheme="majorBidi" w:cstheme="majorBidi"/>
                <w:sz w:val="24"/>
                <w:szCs w:val="24"/>
                <w:highlight w:val="yellow"/>
              </w:rPr>
            </w:pPr>
          </w:p>
        </w:tc>
      </w:tr>
      <w:tr w:rsidR="00E92ED0" w:rsidRPr="005A2D58" w14:paraId="38F69D2E" w14:textId="77777777" w:rsidTr="009A3A18">
        <w:trPr>
          <w:trHeight w:val="425"/>
        </w:trPr>
        <w:tc>
          <w:tcPr>
            <w:tcW w:w="5954" w:type="dxa"/>
            <w:tcBorders>
              <w:top w:val="single" w:sz="4" w:space="0" w:color="auto"/>
              <w:left w:val="single" w:sz="4" w:space="0" w:color="auto"/>
              <w:bottom w:val="single" w:sz="4" w:space="0" w:color="auto"/>
              <w:right w:val="single" w:sz="4" w:space="0" w:color="auto"/>
            </w:tcBorders>
            <w:vAlign w:val="center"/>
            <w:hideMark/>
          </w:tcPr>
          <w:p w14:paraId="6E352831" w14:textId="77777777" w:rsidR="00E92ED0" w:rsidRPr="005F250D" w:rsidRDefault="00E92ED0" w:rsidP="00E92ED0">
            <w:pPr>
              <w:tabs>
                <w:tab w:val="left" w:pos="709"/>
              </w:tabs>
              <w:spacing w:after="0" w:line="240" w:lineRule="auto"/>
              <w:ind w:left="-360"/>
              <w:jc w:val="right"/>
              <w:rPr>
                <w:rFonts w:asciiTheme="majorBidi" w:eastAsia="Calibri" w:hAnsiTheme="majorBidi" w:cstheme="majorBidi"/>
                <w:b/>
                <w:bCs/>
                <w:sz w:val="24"/>
                <w:szCs w:val="24"/>
              </w:rPr>
            </w:pPr>
            <w:r w:rsidRPr="005F250D">
              <w:rPr>
                <w:rFonts w:asciiTheme="majorBidi" w:eastAsia="Calibri" w:hAnsiTheme="majorBidi" w:cstheme="majorBidi"/>
                <w:b/>
                <w:bCs/>
                <w:sz w:val="24"/>
                <w:szCs w:val="24"/>
              </w:rPr>
              <w:t>Viso:</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853D5F7" w14:textId="7AD32264" w:rsidR="00E92ED0" w:rsidRPr="005A2D58" w:rsidRDefault="00E92ED0" w:rsidP="00E92ED0">
            <w:pPr>
              <w:spacing w:after="0" w:line="240" w:lineRule="auto"/>
              <w:jc w:val="center"/>
              <w:rPr>
                <w:rFonts w:asciiTheme="majorBidi" w:eastAsia="Calibri" w:hAnsiTheme="majorBidi" w:cstheme="majorBidi"/>
                <w:b/>
                <w:bCs/>
                <w:color w:val="000000"/>
                <w:sz w:val="24"/>
                <w:szCs w:val="24"/>
                <w:highlight w:val="yellow"/>
              </w:rPr>
            </w:pPr>
            <w:r w:rsidRPr="000638E0">
              <w:rPr>
                <w:rFonts w:asciiTheme="majorBidi" w:eastAsia="Calibri" w:hAnsiTheme="majorBidi" w:cstheme="majorBidi"/>
                <w:b/>
                <w:bCs/>
                <w:color w:val="000000"/>
                <w:sz w:val="24"/>
                <w:szCs w:val="24"/>
              </w:rPr>
              <w:t>41</w:t>
            </w:r>
            <w:r>
              <w:rPr>
                <w:rFonts w:asciiTheme="majorBidi" w:eastAsia="Calibri" w:hAnsiTheme="majorBidi" w:cstheme="majorBidi"/>
                <w:b/>
                <w:bCs/>
                <w:color w:val="000000"/>
                <w:sz w:val="24"/>
                <w:szCs w:val="24"/>
              </w:rPr>
              <w:t xml:space="preserve"> </w:t>
            </w:r>
            <w:r w:rsidRPr="000638E0">
              <w:rPr>
                <w:rFonts w:asciiTheme="majorBidi" w:eastAsia="Calibri" w:hAnsiTheme="majorBidi" w:cstheme="majorBidi"/>
                <w:b/>
                <w:bCs/>
                <w:color w:val="000000"/>
                <w:sz w:val="24"/>
                <w:szCs w:val="24"/>
              </w:rPr>
              <w:t>476</w:t>
            </w:r>
            <w:r>
              <w:rPr>
                <w:rFonts w:asciiTheme="majorBidi" w:eastAsia="Calibri" w:hAnsiTheme="majorBidi" w:cstheme="majorBidi"/>
                <w:b/>
                <w:bCs/>
                <w:color w:val="000000"/>
                <w:sz w:val="24"/>
                <w:szCs w:val="24"/>
              </w:rPr>
              <w:t xml:space="preserve"> </w:t>
            </w:r>
            <w:r w:rsidRPr="000638E0">
              <w:rPr>
                <w:rFonts w:asciiTheme="majorBidi" w:eastAsia="Calibri" w:hAnsiTheme="majorBidi" w:cstheme="majorBidi"/>
                <w:b/>
                <w:bCs/>
                <w:color w:val="000000"/>
                <w:sz w:val="24"/>
                <w:szCs w:val="24"/>
              </w:rPr>
              <w:t xml:space="preserve">761,48 </w:t>
            </w:r>
            <w:r w:rsidRPr="005F250D">
              <w:rPr>
                <w:rFonts w:asciiTheme="majorBidi" w:eastAsia="Calibri" w:hAnsiTheme="majorBidi" w:cstheme="majorBidi"/>
                <w:b/>
                <w:bCs/>
                <w:color w:val="000000"/>
                <w:sz w:val="24"/>
                <w:szCs w:val="24"/>
              </w:rPr>
              <w:t>EUR</w:t>
            </w:r>
          </w:p>
        </w:tc>
        <w:tc>
          <w:tcPr>
            <w:tcW w:w="1701" w:type="dxa"/>
            <w:tcBorders>
              <w:top w:val="single" w:sz="4" w:space="0" w:color="auto"/>
              <w:left w:val="single" w:sz="4" w:space="0" w:color="auto"/>
              <w:bottom w:val="single" w:sz="4" w:space="0" w:color="auto"/>
              <w:right w:val="single" w:sz="4" w:space="0" w:color="auto"/>
            </w:tcBorders>
            <w:vAlign w:val="center"/>
          </w:tcPr>
          <w:p w14:paraId="13442971" w14:textId="77777777" w:rsidR="00E92ED0" w:rsidRPr="005A2D58" w:rsidRDefault="00E92ED0" w:rsidP="00E92ED0">
            <w:pPr>
              <w:spacing w:after="0" w:line="240" w:lineRule="auto"/>
              <w:rPr>
                <w:rFonts w:asciiTheme="majorBidi" w:eastAsia="Times New Roman" w:hAnsiTheme="majorBidi" w:cstheme="majorBidi"/>
                <w:sz w:val="24"/>
                <w:szCs w:val="24"/>
                <w:highlight w:val="yellow"/>
              </w:rPr>
            </w:pPr>
          </w:p>
        </w:tc>
      </w:tr>
      <w:tr w:rsidR="009A3A18" w:rsidRPr="005A2D58" w14:paraId="4FAA2B45" w14:textId="77777777" w:rsidTr="009A3A18">
        <w:tc>
          <w:tcPr>
            <w:tcW w:w="100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7F8D256" w14:textId="77777777" w:rsidR="009A3A18" w:rsidRPr="005F250D" w:rsidRDefault="009A3A18" w:rsidP="00500BF8">
            <w:pPr>
              <w:autoSpaceDE w:val="0"/>
              <w:autoSpaceDN w:val="0"/>
              <w:adjustRightInd w:val="0"/>
              <w:spacing w:after="0" w:line="240" w:lineRule="auto"/>
              <w:jc w:val="center"/>
              <w:rPr>
                <w:rFonts w:asciiTheme="majorBidi" w:eastAsia="Times New Roman" w:hAnsiTheme="majorBidi" w:cstheme="majorBidi"/>
                <w:sz w:val="24"/>
                <w:szCs w:val="24"/>
              </w:rPr>
            </w:pPr>
            <w:r w:rsidRPr="005F250D">
              <w:rPr>
                <w:rFonts w:asciiTheme="majorBidi" w:eastAsia="Times New Roman" w:hAnsiTheme="majorBidi" w:cstheme="majorBidi"/>
                <w:b/>
                <w:color w:val="000000"/>
                <w:sz w:val="24"/>
                <w:szCs w:val="24"/>
              </w:rPr>
              <w:t>Draudimo variantas, draudžiamasis įvykis</w:t>
            </w:r>
          </w:p>
        </w:tc>
      </w:tr>
      <w:tr w:rsidR="009A3A18" w:rsidRPr="005A2D58" w14:paraId="2A13668E" w14:textId="77777777" w:rsidTr="009A3A18">
        <w:trPr>
          <w:trHeight w:val="295"/>
        </w:trPr>
        <w:tc>
          <w:tcPr>
            <w:tcW w:w="10065" w:type="dxa"/>
            <w:gridSpan w:val="3"/>
            <w:tcBorders>
              <w:top w:val="single" w:sz="4" w:space="0" w:color="auto"/>
              <w:left w:val="single" w:sz="4" w:space="0" w:color="auto"/>
              <w:bottom w:val="single" w:sz="4" w:space="0" w:color="auto"/>
              <w:right w:val="single" w:sz="4" w:space="0" w:color="auto"/>
            </w:tcBorders>
          </w:tcPr>
          <w:p w14:paraId="4E4AE3D6" w14:textId="77777777" w:rsidR="009A3A18" w:rsidRPr="005A2D58" w:rsidRDefault="009A3A18" w:rsidP="00500BF8">
            <w:pPr>
              <w:spacing w:after="0" w:line="240" w:lineRule="auto"/>
              <w:ind w:left="-42"/>
              <w:jc w:val="both"/>
              <w:rPr>
                <w:rFonts w:asciiTheme="majorBidi" w:eastAsia="Calibri" w:hAnsiTheme="majorBidi" w:cstheme="majorBidi"/>
                <w:sz w:val="24"/>
                <w:szCs w:val="24"/>
                <w:highlight w:val="yellow"/>
              </w:rPr>
            </w:pPr>
            <w:r w:rsidRPr="005F250D">
              <w:rPr>
                <w:rFonts w:asciiTheme="majorBidi" w:eastAsia="Times New Roman" w:hAnsiTheme="majorBidi" w:cstheme="majorBidi"/>
                <w:b/>
                <w:bCs/>
                <w:sz w:val="24"/>
                <w:szCs w:val="24"/>
                <w:lang w:eastAsia="zh-CN"/>
              </w:rPr>
              <w:t>Visų rizikų draudimas</w:t>
            </w:r>
            <w:r w:rsidRPr="005F250D">
              <w:rPr>
                <w:rFonts w:asciiTheme="majorBidi" w:eastAsia="Times New Roman" w:hAnsiTheme="majorBidi" w:cstheme="majorBidi"/>
                <w:sz w:val="24"/>
                <w:szCs w:val="24"/>
                <w:lang w:eastAsia="zh-CN"/>
              </w:rPr>
              <w:t xml:space="preserve"> - </w:t>
            </w:r>
            <w:r w:rsidRPr="005F250D">
              <w:rPr>
                <w:rFonts w:asciiTheme="majorBidi" w:eastAsia="Calibri" w:hAnsiTheme="majorBidi" w:cstheme="majorBidi"/>
                <w:sz w:val="24"/>
                <w:szCs w:val="24"/>
              </w:rPr>
              <w:t xml:space="preserve">yra apdrausto turto sunaikinimas, sugadinimas ir/ar praradimas dėl bet kokių atsitikimų, staiga ir netikėtai įvykusių draudimo apsaugos galiojimo metu, išskyrus atsitikimus, nurodytus kaip nedraudžiamieji įvykiai Draudiko standartinėse draudimo taisyklėse, pagal kurias draudžiamas šioje specifikacijoje nurodytas turtas. </w:t>
            </w:r>
          </w:p>
        </w:tc>
      </w:tr>
      <w:tr w:rsidR="009A3A18" w:rsidRPr="005A2D58" w14:paraId="7993E110" w14:textId="77777777" w:rsidTr="009A3A18">
        <w:trPr>
          <w:trHeight w:val="295"/>
        </w:trPr>
        <w:tc>
          <w:tcPr>
            <w:tcW w:w="1006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5218F2" w14:textId="77777777" w:rsidR="009A3A18" w:rsidRPr="005F250D" w:rsidRDefault="009A3A18" w:rsidP="00500BF8">
            <w:pPr>
              <w:autoSpaceDE w:val="0"/>
              <w:autoSpaceDN w:val="0"/>
              <w:adjustRightInd w:val="0"/>
              <w:spacing w:after="0" w:line="240" w:lineRule="auto"/>
              <w:jc w:val="center"/>
              <w:rPr>
                <w:rFonts w:asciiTheme="majorBidi" w:eastAsia="Calibri" w:hAnsiTheme="majorBidi" w:cstheme="majorBidi"/>
                <w:sz w:val="24"/>
                <w:szCs w:val="24"/>
              </w:rPr>
            </w:pPr>
            <w:r w:rsidRPr="005F250D">
              <w:rPr>
                <w:rFonts w:asciiTheme="majorBidi" w:eastAsia="Times New Roman" w:hAnsiTheme="majorBidi" w:cstheme="majorBidi"/>
                <w:b/>
                <w:color w:val="000000"/>
                <w:sz w:val="24"/>
                <w:szCs w:val="24"/>
              </w:rPr>
              <w:t>Besąlyginė išskaita</w:t>
            </w:r>
          </w:p>
        </w:tc>
      </w:tr>
      <w:tr w:rsidR="009A3A18" w:rsidRPr="005A2D58" w14:paraId="61285EDB" w14:textId="77777777" w:rsidTr="009A3A18">
        <w:trPr>
          <w:trHeight w:val="377"/>
        </w:trPr>
        <w:tc>
          <w:tcPr>
            <w:tcW w:w="10065" w:type="dxa"/>
            <w:gridSpan w:val="3"/>
            <w:tcBorders>
              <w:top w:val="single" w:sz="4" w:space="0" w:color="auto"/>
              <w:left w:val="single" w:sz="4" w:space="0" w:color="auto"/>
              <w:bottom w:val="single" w:sz="4" w:space="0" w:color="auto"/>
              <w:right w:val="single" w:sz="4" w:space="0" w:color="auto"/>
            </w:tcBorders>
            <w:hideMark/>
          </w:tcPr>
          <w:p w14:paraId="392E2B42" w14:textId="20820234" w:rsidR="009A3A18" w:rsidRPr="005F250D" w:rsidRDefault="009A3A18" w:rsidP="009A3A18">
            <w:pPr>
              <w:numPr>
                <w:ilvl w:val="0"/>
                <w:numId w:val="3"/>
              </w:numPr>
              <w:spacing w:after="0" w:line="240" w:lineRule="auto"/>
              <w:ind w:left="318"/>
              <w:jc w:val="both"/>
              <w:rPr>
                <w:rFonts w:asciiTheme="majorBidi" w:eastAsia="Times New Roman" w:hAnsiTheme="majorBidi" w:cstheme="majorBidi"/>
                <w:b/>
                <w:sz w:val="24"/>
                <w:szCs w:val="24"/>
              </w:rPr>
            </w:pPr>
            <w:r w:rsidRPr="005F250D">
              <w:rPr>
                <w:rFonts w:asciiTheme="majorBidi" w:eastAsia="Calibri" w:hAnsiTheme="majorBidi" w:cstheme="majorBidi"/>
                <w:sz w:val="24"/>
                <w:szCs w:val="24"/>
              </w:rPr>
              <w:t xml:space="preserve">Draudžiamojo įvykio atveju taikoma besąlyginė išskaita – </w:t>
            </w:r>
            <w:r w:rsidR="003A7692">
              <w:rPr>
                <w:rFonts w:asciiTheme="majorBidi" w:eastAsia="Calibri" w:hAnsiTheme="majorBidi" w:cstheme="majorBidi"/>
                <w:sz w:val="24"/>
                <w:szCs w:val="24"/>
              </w:rPr>
              <w:t>1.0</w:t>
            </w:r>
            <w:r w:rsidRPr="005F250D">
              <w:rPr>
                <w:rFonts w:asciiTheme="majorBidi" w:eastAsia="Calibri" w:hAnsiTheme="majorBidi" w:cstheme="majorBidi"/>
                <w:sz w:val="24"/>
                <w:szCs w:val="24"/>
              </w:rPr>
              <w:t>00,00 EUR.</w:t>
            </w:r>
          </w:p>
          <w:p w14:paraId="3B3E53FA" w14:textId="77777777" w:rsidR="009A3A18" w:rsidRPr="005F250D" w:rsidRDefault="009A3A18" w:rsidP="00500BF8">
            <w:pPr>
              <w:spacing w:after="0" w:line="240" w:lineRule="auto"/>
              <w:jc w:val="both"/>
              <w:rPr>
                <w:rFonts w:asciiTheme="majorBidi" w:eastAsia="Times New Roman" w:hAnsiTheme="majorBidi" w:cstheme="majorBidi"/>
                <w:sz w:val="24"/>
                <w:szCs w:val="24"/>
              </w:rPr>
            </w:pPr>
          </w:p>
        </w:tc>
      </w:tr>
      <w:tr w:rsidR="009A3A18" w:rsidRPr="005A2D58" w14:paraId="7DFE5BC1" w14:textId="77777777" w:rsidTr="009A3A18">
        <w:tc>
          <w:tcPr>
            <w:tcW w:w="100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4CBEADF" w14:textId="77777777" w:rsidR="009A3A18" w:rsidRPr="005A2D58" w:rsidRDefault="009A3A18" w:rsidP="00500BF8">
            <w:pPr>
              <w:autoSpaceDE w:val="0"/>
              <w:autoSpaceDN w:val="0"/>
              <w:adjustRightInd w:val="0"/>
              <w:spacing w:after="0" w:line="240" w:lineRule="auto"/>
              <w:jc w:val="center"/>
              <w:rPr>
                <w:rFonts w:asciiTheme="majorBidi" w:eastAsia="Times New Roman" w:hAnsiTheme="majorBidi" w:cstheme="majorBidi"/>
                <w:b/>
                <w:sz w:val="24"/>
                <w:szCs w:val="24"/>
                <w:highlight w:val="yellow"/>
              </w:rPr>
            </w:pPr>
            <w:r w:rsidRPr="005F250D">
              <w:rPr>
                <w:rFonts w:asciiTheme="majorBidi" w:eastAsia="Times New Roman" w:hAnsiTheme="majorBidi" w:cstheme="majorBidi"/>
                <w:b/>
                <w:sz w:val="24"/>
                <w:szCs w:val="24"/>
              </w:rPr>
              <w:t>Turto vertės ir nuostolių atlyginimo principai</w:t>
            </w:r>
          </w:p>
        </w:tc>
      </w:tr>
      <w:tr w:rsidR="009A3A18" w:rsidRPr="005A2D58" w14:paraId="45D1E2AF" w14:textId="77777777" w:rsidTr="009A3A18">
        <w:tc>
          <w:tcPr>
            <w:tcW w:w="10065" w:type="dxa"/>
            <w:gridSpan w:val="3"/>
            <w:tcBorders>
              <w:top w:val="single" w:sz="4" w:space="0" w:color="auto"/>
              <w:left w:val="single" w:sz="4" w:space="0" w:color="auto"/>
              <w:bottom w:val="single" w:sz="4" w:space="0" w:color="auto"/>
              <w:right w:val="single" w:sz="4" w:space="0" w:color="auto"/>
            </w:tcBorders>
            <w:hideMark/>
          </w:tcPr>
          <w:p w14:paraId="2212E6CA" w14:textId="77777777" w:rsidR="009A3A18" w:rsidRPr="005F250D" w:rsidRDefault="009A3A18" w:rsidP="009A3A18">
            <w:pPr>
              <w:numPr>
                <w:ilvl w:val="0"/>
                <w:numId w:val="3"/>
              </w:numPr>
              <w:spacing w:after="0" w:line="240" w:lineRule="auto"/>
              <w:ind w:left="318"/>
              <w:jc w:val="both"/>
              <w:rPr>
                <w:rFonts w:ascii="Times New Roman" w:hAnsi="Times New Roman" w:cs="Times New Roman"/>
                <w:b/>
                <w:bCs/>
                <w:sz w:val="24"/>
                <w:szCs w:val="20"/>
              </w:rPr>
            </w:pPr>
            <w:r w:rsidRPr="005F250D">
              <w:rPr>
                <w:rFonts w:asciiTheme="majorBidi" w:eastAsia="Calibri" w:hAnsiTheme="majorBidi" w:cstheme="majorBidi"/>
                <w:b/>
                <w:bCs/>
                <w:sz w:val="24"/>
                <w:szCs w:val="24"/>
              </w:rPr>
              <w:t>Draudimo vertė:</w:t>
            </w:r>
          </w:p>
          <w:p w14:paraId="4A2C879C" w14:textId="77777777" w:rsidR="009A3A18" w:rsidRPr="005F250D" w:rsidRDefault="009A3A18" w:rsidP="00500BF8">
            <w:pPr>
              <w:jc w:val="both"/>
              <w:rPr>
                <w:rFonts w:ascii="Times New Roman" w:hAnsi="Times New Roman" w:cs="Times New Roman"/>
                <w:sz w:val="24"/>
                <w:szCs w:val="20"/>
              </w:rPr>
            </w:pPr>
            <w:r>
              <w:rPr>
                <w:rFonts w:ascii="Times New Roman" w:hAnsi="Times New Roman" w:cs="Times New Roman"/>
                <w:bCs/>
                <w:sz w:val="24"/>
                <w:szCs w:val="20"/>
              </w:rPr>
              <w:lastRenderedPageBreak/>
              <w:t xml:space="preserve">5.1. </w:t>
            </w:r>
            <w:r w:rsidRPr="005F250D">
              <w:rPr>
                <w:rFonts w:ascii="Times New Roman" w:hAnsi="Times New Roman" w:cs="Times New Roman"/>
                <w:bCs/>
                <w:sz w:val="24"/>
                <w:szCs w:val="20"/>
              </w:rPr>
              <w:t>Nekilnojamas turtas draudžiamas</w:t>
            </w:r>
            <w:r w:rsidRPr="005F250D">
              <w:rPr>
                <w:rFonts w:ascii="Times New Roman" w:hAnsi="Times New Roman" w:cs="Times New Roman"/>
                <w:sz w:val="24"/>
                <w:szCs w:val="20"/>
              </w:rPr>
              <w:t xml:space="preserve"> nauja atkuriamąja verte – analogiško, tokios pat paskirties, konstrukcijos, panaudojus tokias pat medžiagas ir įrangą, būdingą tai vietovei naujo pastato atkūrimo vertė, kuri apima statinio pastatymo, įskaitant konstravimą bei projektavimą ir kitas išlaidas.</w:t>
            </w:r>
          </w:p>
          <w:p w14:paraId="295B364D" w14:textId="77777777" w:rsidR="009A3A18" w:rsidRPr="008778F5" w:rsidRDefault="009A3A18" w:rsidP="00500BF8">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5.</w:t>
            </w:r>
            <w:r w:rsidRPr="008778F5">
              <w:rPr>
                <w:rFonts w:ascii="Times New Roman" w:eastAsia="Times New Roman" w:hAnsi="Times New Roman" w:cs="Times New Roman"/>
                <w:sz w:val="24"/>
                <w:szCs w:val="20"/>
              </w:rPr>
              <w:t>2. Kilnojamojo turto draudimo vertė:</w:t>
            </w:r>
          </w:p>
          <w:p w14:paraId="2B3EFE84" w14:textId="77777777" w:rsidR="009A3A18" w:rsidRPr="008778F5" w:rsidRDefault="009A3A18" w:rsidP="00500BF8">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Įrengimai, kurių buhalterinis nusidėvėjimas draudimo sutarties sudarymo dieną neviršija 70 %, draudžiami Atkuriamąja verte. Atkuriamoji vertė – tai apskaičiuoti pastato atkūrimo kaštai sutarties sudarymo dieną, kurių reikėtų naujam tokių pat fizinių ir eksploatacinių savybių objektui įsigyti, atkurti arba  pagaminti, įskaitant visas papilomas išlaidas (įskaitant transportavimo bei montavimo išlaidas ir pan.)</w:t>
            </w:r>
          </w:p>
          <w:p w14:paraId="2AB6DFED" w14:textId="77777777" w:rsidR="009A3A18" w:rsidRPr="008778F5" w:rsidRDefault="009A3A18" w:rsidP="00500BF8">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Įrengimai, kurių buhalterinis nusidėvėjimas sutarties sudarymo dieną yra didesnis nei 70% draudžiami Suderinta verte, kuri yra lygi 70 % buhalterinės Įsigijimo vertės. Draudžiamojo įvykio atveju, kai atlyginama Suderintos vertės principu, nuostoliu laikoma:</w:t>
            </w:r>
          </w:p>
          <w:p w14:paraId="44B955FF" w14:textId="77777777" w:rsidR="009A3A18" w:rsidRPr="008778F5" w:rsidRDefault="009A3A18" w:rsidP="00500BF8">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kai įrengimai dėl draudžiamojo įvykio buvo sugadinti ir yra remontuojami panaudojant įsigytas naujas medžiagas ar detales arba gaminantis analogišką naują detalę arba remontuojant dėvėtomis detalėmis – faktiniai remonto (atkūrimo) kaštai, įskaitant transportavimo bei montavimo išlaidas, tačiau neviršijant suderintos vertės. Jeigu apskaičiuota nuostolio suma viršija 70% suderintos draudimo vertės, laikoma, kad įrengimai yra sunaikinti;</w:t>
            </w:r>
          </w:p>
          <w:p w14:paraId="1524FBBE" w14:textId="77777777" w:rsidR="009A3A18" w:rsidRPr="008778F5" w:rsidRDefault="009A3A18" w:rsidP="00500BF8">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 kai įrengimai dėl draudžiamojo įvykio buvo sunaikinti - analogiškų, tos pačios kokybės, amžiaus, gabaritų, išmatavimų ir paskirties įrengimų įsigyjamų rinkoje vertė (įskaitant transportavimo bei montavimo išlaidas), tačiau neviršijant įrengimų suderintos draudimo sumos. Jei neįmanoma įsigyti analogiško amžiaus ir funkcinės paskirties įrenginio, atlyginama naujo įrenginio įsigijimo vertė, tačiau neviršijant suderintos draudimo vertės.</w:t>
            </w:r>
          </w:p>
          <w:p w14:paraId="46DA7546" w14:textId="77777777" w:rsidR="009A3A18" w:rsidRPr="005F250D" w:rsidRDefault="009A3A18" w:rsidP="00500BF8">
            <w:pPr>
              <w:spacing w:after="0" w:line="240" w:lineRule="auto"/>
              <w:ind w:firstLine="540"/>
              <w:jc w:val="both"/>
              <w:rPr>
                <w:rFonts w:ascii="Times New Roman" w:eastAsia="Times New Roman" w:hAnsi="Times New Roman" w:cs="Times New Roman"/>
                <w:sz w:val="24"/>
                <w:szCs w:val="20"/>
              </w:rPr>
            </w:pPr>
            <w:r w:rsidRPr="008778F5">
              <w:rPr>
                <w:rFonts w:ascii="Times New Roman" w:eastAsia="Times New Roman" w:hAnsi="Times New Roman" w:cs="Times New Roman"/>
                <w:sz w:val="24"/>
                <w:szCs w:val="20"/>
              </w:rPr>
              <w:t>Jei draudėjas nusprendžia neremontuoti ar neatkurti sugadintų ar sunaikintų įrengimų, draudimo išmoka mokama neviršijant įrengimų buhalterinės likutinės vertės;</w:t>
            </w:r>
          </w:p>
        </w:tc>
      </w:tr>
      <w:tr w:rsidR="009A3A18" w:rsidRPr="005A2D58" w14:paraId="28F8CADB" w14:textId="77777777" w:rsidTr="009A3A18">
        <w:trPr>
          <w:trHeight w:val="222"/>
        </w:trPr>
        <w:tc>
          <w:tcPr>
            <w:tcW w:w="100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FF22EC4" w14:textId="77777777" w:rsidR="009A3A18" w:rsidRPr="005A2D58" w:rsidRDefault="009A3A18" w:rsidP="00500BF8">
            <w:pPr>
              <w:autoSpaceDE w:val="0"/>
              <w:autoSpaceDN w:val="0"/>
              <w:adjustRightInd w:val="0"/>
              <w:spacing w:after="0" w:line="240" w:lineRule="auto"/>
              <w:jc w:val="center"/>
              <w:rPr>
                <w:rFonts w:asciiTheme="majorBidi" w:eastAsia="Times New Roman" w:hAnsiTheme="majorBidi" w:cstheme="majorBidi"/>
                <w:b/>
                <w:sz w:val="24"/>
                <w:szCs w:val="24"/>
                <w:highlight w:val="yellow"/>
              </w:rPr>
            </w:pPr>
            <w:r w:rsidRPr="00380CBF">
              <w:rPr>
                <w:rFonts w:asciiTheme="majorBidi" w:eastAsia="Times New Roman" w:hAnsiTheme="majorBidi" w:cstheme="majorBidi"/>
                <w:b/>
                <w:color w:val="000000"/>
                <w:sz w:val="24"/>
                <w:szCs w:val="24"/>
              </w:rPr>
              <w:lastRenderedPageBreak/>
              <w:t>Papildomos sąlygos (draudimo apsaugos išplėtimai)</w:t>
            </w:r>
          </w:p>
        </w:tc>
      </w:tr>
      <w:tr w:rsidR="009A3A18" w:rsidRPr="005A2D58" w14:paraId="7237B90A" w14:textId="77777777" w:rsidTr="009A3A18">
        <w:trPr>
          <w:trHeight w:val="2683"/>
        </w:trPr>
        <w:tc>
          <w:tcPr>
            <w:tcW w:w="10065" w:type="dxa"/>
            <w:gridSpan w:val="3"/>
            <w:tcBorders>
              <w:top w:val="single" w:sz="4" w:space="0" w:color="auto"/>
              <w:left w:val="single" w:sz="4" w:space="0" w:color="auto"/>
              <w:bottom w:val="single" w:sz="4" w:space="0" w:color="auto"/>
              <w:right w:val="single" w:sz="4" w:space="0" w:color="auto"/>
            </w:tcBorders>
            <w:hideMark/>
          </w:tcPr>
          <w:p w14:paraId="6B8AE921" w14:textId="77777777" w:rsidR="009A3A18" w:rsidRDefault="009A3A18" w:rsidP="009A3A18">
            <w:pPr>
              <w:numPr>
                <w:ilvl w:val="0"/>
                <w:numId w:val="3"/>
              </w:numPr>
              <w:spacing w:after="0" w:line="240" w:lineRule="auto"/>
              <w:ind w:left="318"/>
              <w:jc w:val="both"/>
              <w:rPr>
                <w:rFonts w:ascii="Times New Roman" w:eastAsia="Times New Roman" w:hAnsi="Times New Roman" w:cs="Times New Roman"/>
                <w:sz w:val="24"/>
                <w:szCs w:val="20"/>
              </w:rPr>
            </w:pPr>
            <w:r w:rsidRPr="00380CBF">
              <w:rPr>
                <w:rFonts w:asciiTheme="majorBidi" w:eastAsia="Calibri" w:hAnsiTheme="majorBidi" w:cstheme="majorBidi"/>
                <w:sz w:val="24"/>
                <w:szCs w:val="24"/>
              </w:rPr>
              <w:t>Draudimo</w:t>
            </w:r>
            <w:r w:rsidRPr="008778F5">
              <w:rPr>
                <w:rFonts w:ascii="Times New Roman" w:eastAsia="Times New Roman" w:hAnsi="Times New Roman" w:cs="Times New Roman"/>
                <w:sz w:val="24"/>
                <w:szCs w:val="20"/>
              </w:rPr>
              <w:t xml:space="preserve"> išmoka taip pat mokama už tokias sunaikinto, sugadinto ar prarasto turto atkūrimo papildomas išlaidas, kurios patiriamos tik dėl to, kad reikia laikytis statybų techninio reglamento, statybų įstatymo ar taisyklių, nustatytų kituose įstatymuose, savivaldybės ar vietinės valdžios potvarkiuose.  Išmokos limitas vienam įvykiui ir visam sutarties galiojimo laikotarpiui 50.000 EUR;</w:t>
            </w:r>
          </w:p>
          <w:p w14:paraId="4B1E9252" w14:textId="77777777" w:rsidR="009A3A18" w:rsidRDefault="009A3A18" w:rsidP="009A3A18">
            <w:pPr>
              <w:numPr>
                <w:ilvl w:val="0"/>
                <w:numId w:val="3"/>
              </w:numPr>
              <w:spacing w:after="0" w:line="240" w:lineRule="auto"/>
              <w:ind w:left="318"/>
              <w:jc w:val="both"/>
              <w:rPr>
                <w:rFonts w:ascii="Times New Roman" w:eastAsia="Times New Roman" w:hAnsi="Times New Roman" w:cs="Times New Roman"/>
                <w:sz w:val="24"/>
                <w:szCs w:val="20"/>
              </w:rPr>
            </w:pPr>
            <w:r w:rsidRPr="00380CBF">
              <w:rPr>
                <w:rFonts w:ascii="Times New Roman" w:eastAsia="Times New Roman" w:hAnsi="Times New Roman" w:cs="Times New Roman"/>
                <w:sz w:val="24"/>
                <w:szCs w:val="20"/>
              </w:rPr>
              <w:t>Draudikas ir draudėjas susitaria, kad bet koks pagal šią draudimo sutartį apdrausto turto sugadinimas, sunaikinimas ar praradimas per vieną nepertraukiamą 72 valandų laikotarpį dėl audros, liūties, krušos, sniego slėgio, potvynio bus laikomi vienu įvykiu ir todėl bus laikoma viena žala taikant vieną išskaitą;</w:t>
            </w:r>
          </w:p>
          <w:p w14:paraId="6EE02D07" w14:textId="77777777" w:rsidR="009A3A18" w:rsidRDefault="009A3A18" w:rsidP="009A3A18">
            <w:pPr>
              <w:numPr>
                <w:ilvl w:val="0"/>
                <w:numId w:val="3"/>
              </w:numPr>
              <w:spacing w:after="0" w:line="240" w:lineRule="auto"/>
              <w:ind w:left="318"/>
              <w:jc w:val="both"/>
              <w:rPr>
                <w:rFonts w:ascii="Times New Roman" w:eastAsia="Times New Roman" w:hAnsi="Times New Roman" w:cs="Times New Roman"/>
                <w:sz w:val="24"/>
                <w:szCs w:val="20"/>
              </w:rPr>
            </w:pPr>
            <w:r w:rsidRPr="00380CBF">
              <w:rPr>
                <w:rFonts w:ascii="Times New Roman" w:eastAsia="Times New Roman" w:hAnsi="Times New Roman" w:cs="Times New Roman"/>
                <w:sz w:val="24"/>
                <w:szCs w:val="20"/>
              </w:rPr>
              <w:t>Šia draudimo sutartimi draudžiamos pagrįstos papildomos išlaidos, skirtos apmokėti  už suteiktas architektų ir ekspertų, konsultantų ar kitų specialistų paslaugas, kai tokios išlaidos reikalingos apdrausto turto atkūrimui, įvykio priežastims ar nuostolio dydžiui nustatyti, išskyrus išlaidas, skirtas pretenzijai ar ieškiniui paruošti Maksimali draudimo išmoka pagal šią sąlygą yra 50.000 EUR vienam įvykiui ir visam draudimo sutarties galiojimo laikotarpiui</w:t>
            </w:r>
          </w:p>
          <w:p w14:paraId="292C4C32" w14:textId="77777777" w:rsidR="009A3A18" w:rsidRDefault="009A3A18" w:rsidP="009A3A18">
            <w:pPr>
              <w:numPr>
                <w:ilvl w:val="0"/>
                <w:numId w:val="3"/>
              </w:numPr>
              <w:spacing w:after="0" w:line="240" w:lineRule="auto"/>
              <w:ind w:left="318"/>
              <w:jc w:val="both"/>
              <w:rPr>
                <w:rFonts w:ascii="Times New Roman" w:eastAsia="Times New Roman" w:hAnsi="Times New Roman" w:cs="Times New Roman"/>
                <w:sz w:val="24"/>
                <w:szCs w:val="20"/>
              </w:rPr>
            </w:pPr>
            <w:r w:rsidRPr="00380CBF">
              <w:rPr>
                <w:rFonts w:ascii="Times New Roman" w:eastAsia="Times New Roman" w:hAnsi="Times New Roman" w:cs="Times New Roman"/>
                <w:sz w:val="24"/>
                <w:szCs w:val="20"/>
              </w:rPr>
              <w:t>Draudikas ir Draudėjas susitaria, kad Draudikas atlygina įprastus kaštus viršijančias papildomos išlaidas, skirtas atstatyti ar suremontuoti draudžiamojo įvykio metu sunaikintą ar sugadintą turtą pagreitintu būdu: vykdant atstatymo ar remonto darbus švenčių dienomis ar nakties metu, samdant papildomus darbininkus ar specialistus, atliekant pagreitintą turto ar jo remontui reikalingų dalių pristatymą (pvz., oro transportu). Maksimali draudimo išmoka pagal šią sąlygą yra 50.000 Eur vienam įvykiui ir visam draudimo sutarties galiojimo laikotarpiui bendrai.</w:t>
            </w:r>
          </w:p>
          <w:p w14:paraId="2373EE50" w14:textId="77777777" w:rsidR="009A3A18" w:rsidRDefault="009A3A18" w:rsidP="009A3A18">
            <w:pPr>
              <w:numPr>
                <w:ilvl w:val="0"/>
                <w:numId w:val="3"/>
              </w:numPr>
              <w:spacing w:after="0" w:line="240" w:lineRule="auto"/>
              <w:ind w:left="318"/>
              <w:jc w:val="both"/>
              <w:rPr>
                <w:rFonts w:ascii="Times New Roman" w:eastAsia="Times New Roman" w:hAnsi="Times New Roman" w:cs="Times New Roman"/>
                <w:sz w:val="24"/>
                <w:szCs w:val="20"/>
              </w:rPr>
            </w:pPr>
            <w:r w:rsidRPr="00380CBF">
              <w:rPr>
                <w:rFonts w:ascii="Times New Roman" w:eastAsia="Times New Roman" w:hAnsi="Times New Roman" w:cs="Times New Roman"/>
                <w:sz w:val="24"/>
                <w:szCs w:val="20"/>
              </w:rPr>
              <w:t>Draudikas sutinka, kad draudėjas turi teisę atstatyti turtą kitokiais konstrukciniais ar technologiniais sprendimais ir/ar kitokios paskirties nei buvo iki draudžiamojo įvykio, tačiau draudimo išmokos suma negali viršyti sumos, kuri būtų buvusi mokama, jei draudėjas turtą atstatinėtų tokiais pat konstrukciniais ar technologiniais sprendimais, tokios pačios paskirties;</w:t>
            </w:r>
          </w:p>
          <w:p w14:paraId="318A25DD" w14:textId="77777777" w:rsidR="009A3A18" w:rsidRDefault="009A3A18" w:rsidP="009A3A18">
            <w:pPr>
              <w:numPr>
                <w:ilvl w:val="0"/>
                <w:numId w:val="3"/>
              </w:numPr>
              <w:spacing w:after="0" w:line="240" w:lineRule="auto"/>
              <w:ind w:left="318"/>
              <w:jc w:val="both"/>
              <w:rPr>
                <w:rFonts w:ascii="Times New Roman" w:eastAsia="Times New Roman" w:hAnsi="Times New Roman" w:cs="Times New Roman"/>
                <w:sz w:val="24"/>
                <w:szCs w:val="20"/>
              </w:rPr>
            </w:pPr>
            <w:r w:rsidRPr="00380CBF">
              <w:rPr>
                <w:rFonts w:ascii="Times New Roman" w:eastAsia="Times New Roman" w:hAnsi="Times New Roman" w:cs="Times New Roman"/>
                <w:sz w:val="24"/>
                <w:szCs w:val="20"/>
              </w:rPr>
              <w:t>Draudikas ir draudėjas susitaria, jei draudžiamojo įvykio atveju yra nustatytas kaltininkas ir įstatymų nustatyta tvarka įrodyta jo kaltė bei draudikas turi realią galimybę susigrąžinti nuostolio atlyginimą iš nustatyto kaltininko, draudėjui išmoka mokama neišskaičiavus besąlyginės išskaitos;</w:t>
            </w:r>
          </w:p>
          <w:p w14:paraId="1BDB6EF9" w14:textId="77777777" w:rsidR="009A3A18" w:rsidRDefault="009A3A18" w:rsidP="009A3A18">
            <w:pPr>
              <w:numPr>
                <w:ilvl w:val="0"/>
                <w:numId w:val="3"/>
              </w:numPr>
              <w:spacing w:after="0" w:line="240" w:lineRule="auto"/>
              <w:ind w:left="318"/>
              <w:jc w:val="both"/>
              <w:rPr>
                <w:rFonts w:ascii="Times New Roman" w:eastAsia="Times New Roman" w:hAnsi="Times New Roman" w:cs="Times New Roman"/>
                <w:sz w:val="24"/>
                <w:szCs w:val="20"/>
              </w:rPr>
            </w:pPr>
            <w:r w:rsidRPr="00380CBF">
              <w:rPr>
                <w:rFonts w:ascii="Times New Roman" w:eastAsia="Times New Roman" w:hAnsi="Times New Roman" w:cs="Times New Roman"/>
                <w:sz w:val="24"/>
                <w:szCs w:val="20"/>
              </w:rPr>
              <w:lastRenderedPageBreak/>
              <w:t>Draudžiamuoju įvykiu laikomas apdraustų pastatų ir / arba įrenginių sunaikinimas, sugadinimas ar praradimas dėl įtampos svyravimų, staiga ir netikėtai įvykusių draudimo apsaugos galiojimo laikotarpiu. Įtampos svyravimai – per aukšta, per žema įtampa ar jos svyravimai, įžeminimo pažeidimas, nuo Draudėjo nepriklausantis elektros srovės dingimas, netiesioginė žaibo iškrova. Šiai rizikai taikomas 50.000 EUR išmokos limitas.</w:t>
            </w:r>
          </w:p>
          <w:p w14:paraId="4C3CF836" w14:textId="77777777" w:rsidR="009A3A18" w:rsidRPr="00380CBF" w:rsidRDefault="009A3A18" w:rsidP="009A3A18">
            <w:pPr>
              <w:numPr>
                <w:ilvl w:val="0"/>
                <w:numId w:val="3"/>
              </w:numPr>
              <w:spacing w:after="0" w:line="240" w:lineRule="auto"/>
              <w:ind w:left="318"/>
              <w:jc w:val="both"/>
              <w:rPr>
                <w:rFonts w:ascii="Times New Roman" w:eastAsia="Times New Roman" w:hAnsi="Times New Roman" w:cs="Times New Roman"/>
                <w:sz w:val="24"/>
                <w:szCs w:val="20"/>
              </w:rPr>
            </w:pPr>
            <w:r w:rsidRPr="00380CBF">
              <w:rPr>
                <w:rFonts w:ascii="Times New Roman" w:eastAsia="Times New Roman" w:hAnsi="Times New Roman" w:cs="Times New Roman"/>
                <w:sz w:val="24"/>
                <w:szCs w:val="20"/>
              </w:rPr>
              <w:t>Atlyginamos papildomos išlaidos draudimo vietai po draudžiamojo įvykio sutvarkyti - 5% nuo draudimo polise nurodytos bendros draudimo sumos.</w:t>
            </w:r>
          </w:p>
          <w:p w14:paraId="5A0AFA78" w14:textId="77777777" w:rsidR="009A3A18" w:rsidRPr="00380CBF" w:rsidRDefault="009A3A18" w:rsidP="009A3A18">
            <w:pPr>
              <w:numPr>
                <w:ilvl w:val="0"/>
                <w:numId w:val="3"/>
              </w:numPr>
              <w:spacing w:after="0" w:line="240" w:lineRule="auto"/>
              <w:ind w:left="318"/>
              <w:jc w:val="both"/>
              <w:rPr>
                <w:rFonts w:asciiTheme="majorBidi" w:eastAsia="Calibri" w:hAnsiTheme="majorBidi" w:cstheme="majorBidi"/>
                <w:sz w:val="24"/>
                <w:szCs w:val="24"/>
              </w:rPr>
            </w:pPr>
            <w:r w:rsidRPr="005F250D">
              <w:rPr>
                <w:rFonts w:asciiTheme="majorBidi" w:eastAsia="Calibri" w:hAnsiTheme="majorBidi" w:cstheme="majorBidi"/>
                <w:sz w:val="24"/>
                <w:szCs w:val="24"/>
              </w:rPr>
              <w:t xml:space="preserve">Nevisiškas draudimas netaikomas, jei atskiro objekto draudimo vertė yra didesnė už jo draudimo sumą ne daugiau kaip 20 %. </w:t>
            </w:r>
          </w:p>
        </w:tc>
      </w:tr>
      <w:tr w:rsidR="009A3A18" w:rsidRPr="005A2D58" w14:paraId="6B982A68" w14:textId="77777777" w:rsidTr="009A3A18">
        <w:trPr>
          <w:trHeight w:val="222"/>
        </w:trPr>
        <w:tc>
          <w:tcPr>
            <w:tcW w:w="100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EC2A09A" w14:textId="77777777" w:rsidR="009A3A18" w:rsidRPr="005F250D" w:rsidRDefault="009A3A18" w:rsidP="00500BF8">
            <w:pPr>
              <w:autoSpaceDE w:val="0"/>
              <w:autoSpaceDN w:val="0"/>
              <w:adjustRightInd w:val="0"/>
              <w:spacing w:after="0" w:line="240" w:lineRule="auto"/>
              <w:jc w:val="center"/>
              <w:rPr>
                <w:rFonts w:asciiTheme="majorBidi" w:eastAsia="Times New Roman" w:hAnsiTheme="majorBidi" w:cstheme="majorBidi"/>
                <w:sz w:val="24"/>
                <w:szCs w:val="24"/>
              </w:rPr>
            </w:pPr>
            <w:r w:rsidRPr="005F250D">
              <w:rPr>
                <w:rFonts w:asciiTheme="majorBidi" w:eastAsia="Times New Roman" w:hAnsiTheme="majorBidi" w:cstheme="majorBidi"/>
                <w:b/>
                <w:color w:val="000000"/>
                <w:sz w:val="24"/>
                <w:szCs w:val="24"/>
              </w:rPr>
              <w:lastRenderedPageBreak/>
              <w:t>Nedraudžiamieji įvykiai</w:t>
            </w:r>
          </w:p>
        </w:tc>
      </w:tr>
      <w:tr w:rsidR="009A3A18" w:rsidRPr="005A2D58" w14:paraId="556DC6EC" w14:textId="77777777" w:rsidTr="009A3A18">
        <w:trPr>
          <w:trHeight w:val="222"/>
        </w:trPr>
        <w:tc>
          <w:tcPr>
            <w:tcW w:w="10065" w:type="dxa"/>
            <w:gridSpan w:val="3"/>
            <w:tcBorders>
              <w:top w:val="single" w:sz="4" w:space="0" w:color="auto"/>
              <w:left w:val="single" w:sz="4" w:space="0" w:color="auto"/>
              <w:bottom w:val="single" w:sz="4" w:space="0" w:color="auto"/>
              <w:right w:val="single" w:sz="4" w:space="0" w:color="auto"/>
            </w:tcBorders>
            <w:hideMark/>
          </w:tcPr>
          <w:p w14:paraId="479FB84A" w14:textId="77777777" w:rsidR="009A3A18" w:rsidRPr="005F250D" w:rsidRDefault="009A3A18" w:rsidP="009A3A18">
            <w:pPr>
              <w:numPr>
                <w:ilvl w:val="0"/>
                <w:numId w:val="3"/>
              </w:numPr>
              <w:spacing w:after="0" w:line="240" w:lineRule="auto"/>
              <w:ind w:left="318"/>
              <w:contextualSpacing/>
              <w:jc w:val="both"/>
              <w:rPr>
                <w:rFonts w:asciiTheme="majorBidi" w:eastAsia="Calibri" w:hAnsiTheme="majorBidi" w:cstheme="majorBidi"/>
                <w:sz w:val="24"/>
                <w:szCs w:val="24"/>
              </w:rPr>
            </w:pPr>
            <w:r w:rsidRPr="005F250D">
              <w:rPr>
                <w:rFonts w:asciiTheme="majorBidi" w:eastAsia="Calibri" w:hAnsiTheme="majorBidi" w:cstheme="majorBidi"/>
                <w:sz w:val="24"/>
                <w:szCs w:val="24"/>
              </w:rPr>
              <w:t>Nedraudžiamieji įvykiai nurodyti standartinėse Draudiko turto draudimo taisyklėse, kurie neprieštarauja šios techninės specifikacijos nuostatoms.</w:t>
            </w:r>
          </w:p>
        </w:tc>
      </w:tr>
      <w:tr w:rsidR="009A3A18" w:rsidRPr="005A2D58" w14:paraId="7EA4CDC0" w14:textId="77777777" w:rsidTr="009A3A18">
        <w:trPr>
          <w:trHeight w:val="86"/>
        </w:trPr>
        <w:tc>
          <w:tcPr>
            <w:tcW w:w="100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F7535FB" w14:textId="77777777" w:rsidR="009A3A18" w:rsidRPr="00380CBF" w:rsidRDefault="009A3A18" w:rsidP="00500BF8">
            <w:pPr>
              <w:autoSpaceDE w:val="0"/>
              <w:autoSpaceDN w:val="0"/>
              <w:adjustRightInd w:val="0"/>
              <w:spacing w:after="0" w:line="240" w:lineRule="auto"/>
              <w:jc w:val="center"/>
              <w:rPr>
                <w:rFonts w:asciiTheme="majorBidi" w:eastAsia="Times New Roman" w:hAnsiTheme="majorBidi" w:cstheme="majorBidi"/>
                <w:sz w:val="24"/>
                <w:szCs w:val="24"/>
              </w:rPr>
            </w:pPr>
            <w:r w:rsidRPr="00380CBF">
              <w:rPr>
                <w:rFonts w:asciiTheme="majorBidi" w:eastAsia="Times New Roman" w:hAnsiTheme="majorBidi" w:cstheme="majorBidi"/>
                <w:b/>
                <w:sz w:val="24"/>
                <w:szCs w:val="24"/>
              </w:rPr>
              <w:t>Kitos sąlygos</w:t>
            </w:r>
          </w:p>
        </w:tc>
      </w:tr>
      <w:tr w:rsidR="009A3A18" w:rsidRPr="005A2D58" w14:paraId="225E4EA6" w14:textId="77777777" w:rsidTr="009A3A18">
        <w:trPr>
          <w:trHeight w:val="86"/>
        </w:trPr>
        <w:tc>
          <w:tcPr>
            <w:tcW w:w="1006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762A6D" w14:textId="77777777" w:rsidR="009A3A18" w:rsidRPr="00380CBF" w:rsidRDefault="009A3A18" w:rsidP="009A3A18">
            <w:pPr>
              <w:numPr>
                <w:ilvl w:val="0"/>
                <w:numId w:val="3"/>
              </w:numPr>
              <w:spacing w:after="0" w:line="240" w:lineRule="auto"/>
              <w:ind w:left="318"/>
              <w:jc w:val="both"/>
              <w:rPr>
                <w:rFonts w:ascii="Times New Roman" w:eastAsia="Times New Roman" w:hAnsi="Times New Roman" w:cs="Times New Roman"/>
                <w:sz w:val="24"/>
                <w:szCs w:val="20"/>
              </w:rPr>
            </w:pPr>
            <w:r w:rsidRPr="00380CBF">
              <w:rPr>
                <w:rFonts w:asciiTheme="majorBidi" w:eastAsia="Calibri" w:hAnsiTheme="majorBidi" w:cstheme="majorBidi"/>
                <w:sz w:val="24"/>
                <w:szCs w:val="24"/>
              </w:rPr>
              <w:t>Paprastieji</w:t>
            </w:r>
            <w:r w:rsidRPr="00380CBF">
              <w:rPr>
                <w:rFonts w:ascii="Times New Roman" w:eastAsia="Times New Roman" w:hAnsi="Times New Roman" w:cs="Times New Roman"/>
                <w:sz w:val="24"/>
                <w:szCs w:val="20"/>
              </w:rPr>
              <w:t xml:space="preserve"> remonto darbai, kurių vykdymui pagal statybos darbus reglamentuojančius teisės aktus nereikalingas statybų leidimas ir kurių sąmatinė vertė neviršija 100.000 EUR (be PVM), nėra laikomi draudimo rizikos padidėjimu ir draudimas apdraustam turtui galioja pilna draudimo sutartyje nurodyta apimtimi, jei veikia draudimo liudijime ar jo priede nurodytos turto ir priešgaisrinės apsaugos signalizacijos. Bet kokiu atveju draudikas neatlygina nuostolių, kuriuos sukelia ar sąlygoja patys atliekami remonto darbai ar tokius darbus atliekantys asmenys;</w:t>
            </w:r>
          </w:p>
          <w:p w14:paraId="37464BD3" w14:textId="77777777" w:rsidR="009A3A18" w:rsidRPr="00380CBF" w:rsidRDefault="009A3A18" w:rsidP="009A3A18">
            <w:pPr>
              <w:numPr>
                <w:ilvl w:val="0"/>
                <w:numId w:val="3"/>
              </w:numPr>
              <w:spacing w:after="0" w:line="240" w:lineRule="auto"/>
              <w:ind w:left="318"/>
              <w:jc w:val="both"/>
              <w:rPr>
                <w:rFonts w:asciiTheme="majorBidi" w:eastAsia="Calibri" w:hAnsiTheme="majorBidi" w:cstheme="majorBidi"/>
                <w:sz w:val="24"/>
                <w:szCs w:val="24"/>
              </w:rPr>
            </w:pPr>
            <w:r w:rsidRPr="00380CBF">
              <w:rPr>
                <w:rFonts w:asciiTheme="majorBidi" w:eastAsia="Calibri" w:hAnsiTheme="majorBidi" w:cstheme="majorBidi"/>
                <w:sz w:val="24"/>
                <w:szCs w:val="24"/>
              </w:rPr>
              <w:t>Draudimo apsauga negalioja pastatams ir statiniams su šiaudine, skiedrine, nendrine, tentine ar panašia stogo danga ir turtui juose.</w:t>
            </w:r>
          </w:p>
          <w:p w14:paraId="1ED7A849" w14:textId="77777777" w:rsidR="009A3A18" w:rsidRPr="00380CBF" w:rsidRDefault="009A3A18" w:rsidP="009A3A18">
            <w:pPr>
              <w:numPr>
                <w:ilvl w:val="0"/>
                <w:numId w:val="3"/>
              </w:numPr>
              <w:spacing w:after="0" w:line="240" w:lineRule="auto"/>
              <w:ind w:left="318"/>
              <w:jc w:val="both"/>
              <w:rPr>
                <w:rFonts w:asciiTheme="majorBidi" w:eastAsia="Calibri" w:hAnsiTheme="majorBidi" w:cstheme="majorBidi"/>
                <w:sz w:val="24"/>
                <w:szCs w:val="24"/>
              </w:rPr>
            </w:pPr>
            <w:r w:rsidRPr="00380CBF">
              <w:rPr>
                <w:rFonts w:asciiTheme="majorBidi" w:eastAsia="Calibri" w:hAnsiTheme="majorBidi" w:cstheme="majorBidi"/>
                <w:sz w:val="24"/>
                <w:szCs w:val="24"/>
              </w:rPr>
              <w:t>Draudikas įsipareigoja teikti draudėjui arba draudimo brokeriui detalią patirtų žalų informaciją (įvykio data, rezervuota suma, išmokėta suma, trumpas įvykio aprašymas) per 5 darbo dienas gavus rašytinį draudėjo arba draudimo brokerio prašymą elektroniniu paštu, bet ne rečiau kaip kartą per ketvirtį.</w:t>
            </w:r>
          </w:p>
          <w:p w14:paraId="525FA8B3" w14:textId="77777777" w:rsidR="009A3A18" w:rsidRPr="00380CBF" w:rsidRDefault="009A3A18" w:rsidP="009A3A18">
            <w:pPr>
              <w:numPr>
                <w:ilvl w:val="0"/>
                <w:numId w:val="3"/>
              </w:numPr>
              <w:spacing w:after="0" w:line="240" w:lineRule="auto"/>
              <w:ind w:left="318"/>
              <w:jc w:val="both"/>
              <w:rPr>
                <w:rFonts w:asciiTheme="majorBidi" w:eastAsia="Calibri" w:hAnsiTheme="majorBidi" w:cstheme="majorBidi"/>
                <w:sz w:val="24"/>
                <w:szCs w:val="24"/>
              </w:rPr>
            </w:pPr>
            <w:r w:rsidRPr="00380CBF">
              <w:rPr>
                <w:rFonts w:asciiTheme="majorBidi" w:eastAsia="Calibri" w:hAnsiTheme="majorBidi" w:cstheme="majorBidi"/>
                <w:sz w:val="24"/>
                <w:szCs w:val="24"/>
              </w:rPr>
              <w:t xml:space="preserve">Draudikas įsipareigoja apdrausti visą Draudėjo pageidaujamą drausti turtą pagal pateiktą metinį tarifą visos sutarties galiojimo metu pagal Draudėjo nurodytą laikotarpį, draudimo įmoką apskaičiuojant pagal formulę: Metinis draudimo tarifas (proc.) x turto vertė / 365 x pageidaujamo liudijimo galiojimo laikotarpio dienų skaičius. Nustatomas vieningas draudimo įmokos metinis tarifas visam turtui. </w:t>
            </w:r>
          </w:p>
          <w:p w14:paraId="3AD7AD00" w14:textId="77777777" w:rsidR="009A3A18" w:rsidRDefault="009A3A18" w:rsidP="009A3A18">
            <w:pPr>
              <w:numPr>
                <w:ilvl w:val="0"/>
                <w:numId w:val="3"/>
              </w:numPr>
              <w:spacing w:after="0" w:line="240" w:lineRule="auto"/>
              <w:ind w:left="318"/>
              <w:jc w:val="both"/>
              <w:rPr>
                <w:rFonts w:asciiTheme="majorBidi" w:eastAsia="Calibri" w:hAnsiTheme="majorBidi" w:cstheme="majorBidi"/>
                <w:sz w:val="24"/>
                <w:szCs w:val="24"/>
              </w:rPr>
            </w:pPr>
            <w:r w:rsidRPr="00380CBF">
              <w:rPr>
                <w:rFonts w:asciiTheme="majorBidi" w:eastAsia="Calibri" w:hAnsiTheme="majorBidi" w:cstheme="majorBidi"/>
                <w:sz w:val="24"/>
                <w:szCs w:val="24"/>
              </w:rPr>
              <w:t>Per penkias darbo dienas nuo pranešimo gavimo dienos, Draudėjui pardavus, nurašius arba nebevaldant draudžiamo turto ir apie tai informavus Draudiką, Draudikas įsipareigoja paskaičiuoti nepanaudotą įmokos dalį ir ja sumažinti bendrą draudimo įmoką arba Draudėjui pareikalavus pervesti į Draudėjo atsiskaitomąją sąskaitą, neišskaičiavus administracinių (sutarties sudarymo ir vykdymo) išlaidų.</w:t>
            </w:r>
          </w:p>
          <w:p w14:paraId="7F14A7E5" w14:textId="77777777" w:rsidR="009A3A18" w:rsidRPr="00380CBF" w:rsidRDefault="009A3A18" w:rsidP="009A3A18">
            <w:pPr>
              <w:numPr>
                <w:ilvl w:val="0"/>
                <w:numId w:val="3"/>
              </w:numPr>
              <w:spacing w:after="0" w:line="240" w:lineRule="auto"/>
              <w:ind w:left="318"/>
              <w:jc w:val="both"/>
              <w:rPr>
                <w:rFonts w:asciiTheme="majorBidi" w:eastAsia="Calibri" w:hAnsiTheme="majorBidi" w:cstheme="majorBidi"/>
                <w:sz w:val="24"/>
                <w:szCs w:val="24"/>
              </w:rPr>
            </w:pPr>
            <w:r w:rsidRPr="008778F5">
              <w:rPr>
                <w:rFonts w:ascii="Times New Roman" w:eastAsia="Times New Roman" w:hAnsi="Times New Roman" w:cs="Times New Roman"/>
                <w:sz w:val="24"/>
                <w:szCs w:val="20"/>
              </w:rPr>
              <w:t>Turto atstatymą po draudiminio įvykio atlieka Draudėjo viešuosius pirkimus laimėjusios įmonės.</w:t>
            </w:r>
          </w:p>
          <w:p w14:paraId="567A06A8" w14:textId="77777777" w:rsidR="009A3A18" w:rsidRPr="00380CBF" w:rsidRDefault="009A3A18" w:rsidP="00500BF8">
            <w:pPr>
              <w:spacing w:after="0" w:line="240" w:lineRule="auto"/>
              <w:ind w:left="318"/>
              <w:jc w:val="both"/>
              <w:rPr>
                <w:rFonts w:asciiTheme="majorBidi" w:eastAsia="Calibri" w:hAnsiTheme="majorBidi" w:cstheme="majorBidi"/>
                <w:sz w:val="24"/>
                <w:szCs w:val="24"/>
              </w:rPr>
            </w:pPr>
          </w:p>
        </w:tc>
      </w:tr>
    </w:tbl>
    <w:p w14:paraId="16FBF433" w14:textId="77777777" w:rsidR="009A3A18" w:rsidRPr="005A2D58" w:rsidRDefault="009A3A18" w:rsidP="009A3A18">
      <w:pPr>
        <w:spacing w:after="0" w:line="240" w:lineRule="auto"/>
        <w:rPr>
          <w:rFonts w:asciiTheme="majorBidi" w:eastAsia="Times New Roman" w:hAnsiTheme="majorBidi" w:cstheme="majorBidi"/>
          <w:sz w:val="24"/>
          <w:szCs w:val="20"/>
          <w:lang w:val="pt-BR"/>
        </w:rPr>
      </w:pPr>
    </w:p>
    <w:p w14:paraId="59C9766D" w14:textId="77777777" w:rsidR="0040635E" w:rsidRDefault="0040635E"/>
    <w:sectPr w:rsidR="0040635E" w:rsidSect="009A3A18">
      <w:footerReference w:type="default" r:id="rId7"/>
      <w:footerReference w:type="first" r:id="rId8"/>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A1FC2" w14:textId="77777777" w:rsidR="00D75F62" w:rsidRDefault="00D75F62">
      <w:pPr>
        <w:spacing w:after="0" w:line="240" w:lineRule="auto"/>
      </w:pPr>
      <w:r>
        <w:separator/>
      </w:r>
    </w:p>
  </w:endnote>
  <w:endnote w:type="continuationSeparator" w:id="0">
    <w:p w14:paraId="494A8BA9" w14:textId="77777777" w:rsidR="00D75F62" w:rsidRDefault="00D75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37A6" w14:textId="77777777" w:rsidR="009A3A18" w:rsidRDefault="009A3A18">
    <w:pPr>
      <w:pStyle w:val="Footer"/>
      <w:jc w:val="center"/>
    </w:pPr>
    <w:r>
      <w:fldChar w:fldCharType="begin"/>
    </w:r>
    <w:r>
      <w:instrText xml:space="preserve"> PAGE   \* MERGEFORMAT </w:instrText>
    </w:r>
    <w:r>
      <w:fldChar w:fldCharType="separate"/>
    </w:r>
    <w:r>
      <w:rPr>
        <w:noProof/>
      </w:rPr>
      <w:t>6</w:t>
    </w:r>
    <w:r>
      <w:fldChar w:fldCharType="end"/>
    </w:r>
  </w:p>
  <w:p w14:paraId="141DD12B" w14:textId="77777777" w:rsidR="009A3A18" w:rsidRDefault="009A3A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0AAE8" w14:textId="77777777" w:rsidR="009A3A18" w:rsidRDefault="009A3A18">
    <w:pPr>
      <w:pStyle w:val="Footer"/>
      <w:jc w:val="center"/>
    </w:pPr>
    <w:r>
      <w:fldChar w:fldCharType="begin"/>
    </w:r>
    <w:r>
      <w:instrText xml:space="preserve"> PAGE   \* MERGEFORMAT </w:instrText>
    </w:r>
    <w:r>
      <w:fldChar w:fldCharType="separate"/>
    </w:r>
    <w:r>
      <w:rPr>
        <w:noProof/>
      </w:rPr>
      <w:t>1</w:t>
    </w:r>
    <w:r>
      <w:rPr>
        <w:noProof/>
      </w:rPr>
      <w:t>4</w:t>
    </w:r>
    <w:r>
      <w:fldChar w:fldCharType="end"/>
    </w:r>
  </w:p>
  <w:p w14:paraId="3989430C" w14:textId="77777777" w:rsidR="009A3A18" w:rsidRDefault="009A3A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E4BBB" w14:textId="77777777" w:rsidR="00D75F62" w:rsidRDefault="00D75F62">
      <w:pPr>
        <w:spacing w:after="0" w:line="240" w:lineRule="auto"/>
      </w:pPr>
      <w:r>
        <w:separator/>
      </w:r>
    </w:p>
  </w:footnote>
  <w:footnote w:type="continuationSeparator" w:id="0">
    <w:p w14:paraId="32347566" w14:textId="77777777" w:rsidR="00D75F62" w:rsidRDefault="00D75F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1664"/>
    <w:multiLevelType w:val="hybridMultilevel"/>
    <w:tmpl w:val="89C48FD4"/>
    <w:lvl w:ilvl="0" w:tplc="04270013">
      <w:start w:val="1"/>
      <w:numFmt w:val="upperRoman"/>
      <w:lvlText w:val="%1."/>
      <w:lvlJc w:val="righ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FD51274"/>
    <w:multiLevelType w:val="multilevel"/>
    <w:tmpl w:val="B9A0DD7E"/>
    <w:lvl w:ilvl="0">
      <w:start w:val="1"/>
      <w:numFmt w:val="decimal"/>
      <w:suff w:val="space"/>
      <w:lvlText w:val="%1."/>
      <w:lvlJc w:val="left"/>
      <w:pPr>
        <w:ind w:left="6881" w:hanging="360"/>
      </w:pPr>
      <w:rPr>
        <w:b w:val="0"/>
        <w:bCs/>
        <w:i w:val="0"/>
        <w:iCs w:val="0"/>
        <w:color w:val="auto"/>
      </w:rPr>
    </w:lvl>
    <w:lvl w:ilvl="1">
      <w:start w:val="1"/>
      <w:numFmt w:val="decimal"/>
      <w:isLgl/>
      <w:lvlText w:val="%1.%2."/>
      <w:lvlJc w:val="left"/>
      <w:pPr>
        <w:ind w:left="1004" w:hanging="360"/>
      </w:pPr>
      <w:rPr>
        <w:b/>
      </w:rPr>
    </w:lvl>
    <w:lvl w:ilvl="2">
      <w:start w:val="1"/>
      <w:numFmt w:val="decimal"/>
      <w:isLgl/>
      <w:lvlText w:val="%1.%2.%3."/>
      <w:lvlJc w:val="left"/>
      <w:pPr>
        <w:ind w:left="1724" w:hanging="720"/>
      </w:pPr>
    </w:lvl>
    <w:lvl w:ilvl="3">
      <w:start w:val="1"/>
      <w:numFmt w:val="decimal"/>
      <w:isLgl/>
      <w:lvlText w:val="%1.%2.%3.%4."/>
      <w:lvlJc w:val="left"/>
      <w:pPr>
        <w:ind w:left="2084" w:hanging="720"/>
      </w:pPr>
    </w:lvl>
    <w:lvl w:ilvl="4">
      <w:start w:val="1"/>
      <w:numFmt w:val="decimal"/>
      <w:isLgl/>
      <w:lvlText w:val="%1.%2.%3.%4.%5."/>
      <w:lvlJc w:val="left"/>
      <w:pPr>
        <w:ind w:left="2804" w:hanging="1080"/>
      </w:pPr>
    </w:lvl>
    <w:lvl w:ilvl="5">
      <w:start w:val="1"/>
      <w:numFmt w:val="decimal"/>
      <w:isLgl/>
      <w:lvlText w:val="%1.%2.%3.%4.%5.%6."/>
      <w:lvlJc w:val="left"/>
      <w:pPr>
        <w:ind w:left="3164" w:hanging="1080"/>
      </w:pPr>
    </w:lvl>
    <w:lvl w:ilvl="6">
      <w:start w:val="1"/>
      <w:numFmt w:val="decimal"/>
      <w:isLgl/>
      <w:lvlText w:val="%1.%2.%3.%4.%5.%6.%7."/>
      <w:lvlJc w:val="left"/>
      <w:pPr>
        <w:ind w:left="3884" w:hanging="1440"/>
      </w:pPr>
    </w:lvl>
    <w:lvl w:ilvl="7">
      <w:start w:val="1"/>
      <w:numFmt w:val="decimal"/>
      <w:isLgl/>
      <w:lvlText w:val="%1.%2.%3.%4.%5.%6.%7.%8."/>
      <w:lvlJc w:val="left"/>
      <w:pPr>
        <w:ind w:left="4244" w:hanging="1440"/>
      </w:pPr>
    </w:lvl>
    <w:lvl w:ilvl="8">
      <w:start w:val="1"/>
      <w:numFmt w:val="decimal"/>
      <w:isLgl/>
      <w:lvlText w:val="%1.%2.%3.%4.%5.%6.%7.%8.%9."/>
      <w:lvlJc w:val="left"/>
      <w:pPr>
        <w:ind w:left="4964" w:hanging="1800"/>
      </w:pPr>
    </w:lvl>
  </w:abstractNum>
  <w:abstractNum w:abstractNumId="2" w15:restartNumberingAfterBreak="0">
    <w:nsid w:val="7234040D"/>
    <w:multiLevelType w:val="multilevel"/>
    <w:tmpl w:val="CFBA9FCE"/>
    <w:lvl w:ilvl="0">
      <w:start w:val="1"/>
      <w:numFmt w:val="decimal"/>
      <w:lvlText w:val="%1."/>
      <w:lvlJc w:val="left"/>
      <w:pPr>
        <w:ind w:left="720" w:hanging="360"/>
      </w:pPr>
      <w:rPr>
        <w:rFonts w:hint="default"/>
        <w:b w:val="0"/>
        <w:bCs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006721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59169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90609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A18"/>
    <w:rsid w:val="003A7692"/>
    <w:rsid w:val="0040635E"/>
    <w:rsid w:val="0069480A"/>
    <w:rsid w:val="009A3A18"/>
    <w:rsid w:val="009D59E6"/>
    <w:rsid w:val="00A66007"/>
    <w:rsid w:val="00D75F62"/>
    <w:rsid w:val="00E92E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AD71A"/>
  <w15:chartTrackingRefBased/>
  <w15:docId w15:val="{6EF47AAB-D8E3-49A5-8212-7F53EC751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A18"/>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9A3A1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A3A1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A3A1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A3A1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A3A1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A3A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A3A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A3A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A3A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3A1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A3A1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A3A1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A3A1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A3A1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A3A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3A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3A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3A18"/>
    <w:rPr>
      <w:rFonts w:eastAsiaTheme="majorEastAsia" w:cstheme="majorBidi"/>
      <w:color w:val="272727" w:themeColor="text1" w:themeTint="D8"/>
    </w:rPr>
  </w:style>
  <w:style w:type="paragraph" w:styleId="Title">
    <w:name w:val="Title"/>
    <w:basedOn w:val="Normal"/>
    <w:next w:val="Normal"/>
    <w:link w:val="TitleChar"/>
    <w:uiPriority w:val="10"/>
    <w:qFormat/>
    <w:rsid w:val="009A3A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3A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3A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3A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3A18"/>
    <w:pPr>
      <w:spacing w:before="160"/>
      <w:jc w:val="center"/>
    </w:pPr>
    <w:rPr>
      <w:i/>
      <w:iCs/>
      <w:color w:val="404040" w:themeColor="text1" w:themeTint="BF"/>
    </w:rPr>
  </w:style>
  <w:style w:type="character" w:customStyle="1" w:styleId="QuoteChar">
    <w:name w:val="Quote Char"/>
    <w:basedOn w:val="DefaultParagraphFont"/>
    <w:link w:val="Quote"/>
    <w:uiPriority w:val="29"/>
    <w:rsid w:val="009A3A18"/>
    <w:rPr>
      <w:i/>
      <w:iCs/>
      <w:color w:val="404040" w:themeColor="text1" w:themeTint="BF"/>
    </w:rPr>
  </w:style>
  <w:style w:type="paragraph" w:styleId="ListParagraph">
    <w:name w:val="List Paragraph"/>
    <w:basedOn w:val="Normal"/>
    <w:uiPriority w:val="34"/>
    <w:qFormat/>
    <w:rsid w:val="009A3A18"/>
    <w:pPr>
      <w:ind w:left="720"/>
      <w:contextualSpacing/>
    </w:pPr>
  </w:style>
  <w:style w:type="character" w:styleId="IntenseEmphasis">
    <w:name w:val="Intense Emphasis"/>
    <w:basedOn w:val="DefaultParagraphFont"/>
    <w:uiPriority w:val="21"/>
    <w:qFormat/>
    <w:rsid w:val="009A3A18"/>
    <w:rPr>
      <w:i/>
      <w:iCs/>
      <w:color w:val="2F5496" w:themeColor="accent1" w:themeShade="BF"/>
    </w:rPr>
  </w:style>
  <w:style w:type="paragraph" w:styleId="IntenseQuote">
    <w:name w:val="Intense Quote"/>
    <w:basedOn w:val="Normal"/>
    <w:next w:val="Normal"/>
    <w:link w:val="IntenseQuoteChar"/>
    <w:uiPriority w:val="30"/>
    <w:qFormat/>
    <w:rsid w:val="009A3A1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A3A18"/>
    <w:rPr>
      <w:i/>
      <w:iCs/>
      <w:color w:val="2F5496" w:themeColor="accent1" w:themeShade="BF"/>
    </w:rPr>
  </w:style>
  <w:style w:type="character" w:styleId="IntenseReference">
    <w:name w:val="Intense Reference"/>
    <w:basedOn w:val="DefaultParagraphFont"/>
    <w:uiPriority w:val="32"/>
    <w:qFormat/>
    <w:rsid w:val="009A3A18"/>
    <w:rPr>
      <w:b/>
      <w:bCs/>
      <w:smallCaps/>
      <w:color w:val="2F5496" w:themeColor="accent1" w:themeShade="BF"/>
      <w:spacing w:val="5"/>
    </w:rPr>
  </w:style>
  <w:style w:type="paragraph" w:styleId="Footer">
    <w:name w:val="footer"/>
    <w:basedOn w:val="Normal"/>
    <w:link w:val="FooterChar"/>
    <w:uiPriority w:val="99"/>
    <w:unhideWhenUsed/>
    <w:rsid w:val="009A3A18"/>
    <w:pPr>
      <w:tabs>
        <w:tab w:val="center" w:pos="4819"/>
        <w:tab w:val="right" w:pos="9638"/>
      </w:tabs>
      <w:spacing w:after="0" w:line="240" w:lineRule="auto"/>
    </w:pPr>
  </w:style>
  <w:style w:type="character" w:customStyle="1" w:styleId="FooterChar">
    <w:name w:val="Footer Char"/>
    <w:basedOn w:val="DefaultParagraphFont"/>
    <w:link w:val="Footer"/>
    <w:uiPriority w:val="99"/>
    <w:rsid w:val="009A3A18"/>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8087</Words>
  <Characters>4611</Characters>
  <Application>Microsoft Office Word</Application>
  <DocSecurity>0</DocSecurity>
  <Lines>38</Lines>
  <Paragraphs>25</Paragraphs>
  <ScaleCrop>false</ScaleCrop>
  <Company/>
  <LinksUpToDate>false</LinksUpToDate>
  <CharactersWithSpaces>12673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Panavas | UADBB Rizikos cesija</dc:creator>
  <cp:keywords/>
  <dc:description/>
  <cp:lastModifiedBy>Laurynas Panavas | UADBB Rizikos cesija</cp:lastModifiedBy>
  <cp:revision>3</cp:revision>
  <dcterms:created xsi:type="dcterms:W3CDTF">2026-08-11T11:02:00Z</dcterms:created>
  <dcterms:modified xsi:type="dcterms:W3CDTF">2026-08-11T11:58:00Z</dcterms:modified>
</cp:coreProperties>
</file>